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b/>
          <w:bCs/>
          <w:i/>
          <w:i/>
          <w:iCs/>
          <w:color w:val="FF0000"/>
          <w:sz w:val="20"/>
          <w:szCs w:val="20"/>
        </w:rPr>
      </w:pPr>
      <w:r>
        <w:rPr>
          <w:rFonts w:cs="Arial" w:ascii="Arial" w:hAnsi="Arial"/>
          <w:b/>
          <w:bCs/>
          <w:i/>
          <w:iCs/>
          <w:color w:val="FF0000"/>
          <w:sz w:val="20"/>
          <w:szCs w:val="20"/>
        </w:rPr>
      </w:r>
    </w:p>
    <w:p>
      <w:pPr>
        <w:pStyle w:val="Normal"/>
        <w:jc w:val="center"/>
        <w:rPr>
          <w:rFonts w:ascii="Arial" w:hAnsi="Arial"/>
        </w:rPr>
      </w:pPr>
      <w:r>
        <w:rPr/>
        <w:drawing>
          <wp:inline distT="0" distB="0" distL="0" distR="0">
            <wp:extent cx="952500" cy="981075"/>
            <wp:effectExtent l="0" t="0" r="0" b="0"/>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952500" cy="981075"/>
                    </a:xfrm>
                    <a:prstGeom prst="rect">
                      <a:avLst/>
                    </a:prstGeom>
                    <a:noFill/>
                  </pic:spPr>
                </pic:pic>
              </a:graphicData>
            </a:graphic>
          </wp:inline>
        </w:drawing>
      </w:r>
      <w:r>
        <w:rPr>
          <w:rFonts w:eastAsia="Times New Roman" w:cs="Arial" w:ascii="Arial" w:hAnsi="Arial"/>
          <w:b/>
          <w:i/>
          <w:color w:val="FF0000"/>
          <w:sz w:val="20"/>
          <w:szCs w:val="20"/>
          <w:shd w:fill="auto" w:val="clear"/>
        </w:rPr>
        <w:t xml:space="preserve"> </w:t>
      </w:r>
      <w:bookmarkStart w:id="0" w:name="_Hlk82471863"/>
    </w:p>
    <w:p>
      <w:pPr>
        <w:pStyle w:val="BodyText"/>
        <w:spacing w:lineRule="auto" w:line="312" w:before="120" w:after="288"/>
        <w:jc w:val="center"/>
        <w:rPr>
          <w:rFonts w:ascii="Arial" w:hAnsi="Arial"/>
        </w:rPr>
      </w:pPr>
      <w:r>
        <w:rPr>
          <w:rFonts w:cs="Arial" w:ascii="Arial" w:hAnsi="Arial"/>
          <w:b/>
          <w:color w:val="000000"/>
          <w:sz w:val="20"/>
          <w:szCs w:val="20"/>
          <w:shd w:fill="auto" w:val="clear"/>
        </w:rPr>
        <w:t>MINISTÉRIO DA DEFESA</w:t>
      </w:r>
    </w:p>
    <w:p>
      <w:pPr>
        <w:pStyle w:val="BodyText"/>
        <w:spacing w:before="0" w:after="0"/>
        <w:ind w:hanging="0" w:left="0" w:right="0"/>
        <w:jc w:val="center"/>
        <w:rPr>
          <w:rFonts w:ascii="Arial" w:hAnsi="Arial"/>
        </w:rPr>
      </w:pPr>
      <w:r>
        <w:rPr>
          <w:rFonts w:ascii="Arial" w:hAnsi="Arial"/>
          <w:b/>
          <w:color w:val="000000"/>
          <w:sz w:val="22"/>
          <w:shd w:fill="auto" w:val="clear"/>
        </w:rPr>
        <w:t>EXÉRCITO BRASILEIRO</w:t>
      </w:r>
    </w:p>
    <w:p>
      <w:pPr>
        <w:pStyle w:val="BodyText"/>
        <w:spacing w:before="0" w:after="0"/>
        <w:ind w:hanging="0" w:left="0" w:right="0"/>
        <w:jc w:val="center"/>
        <w:rPr>
          <w:rFonts w:ascii="Arial" w:hAnsi="Arial"/>
        </w:rPr>
      </w:pPr>
      <w:r>
        <w:rPr>
          <w:rFonts w:ascii="Arial" w:hAnsi="Arial"/>
          <w:b/>
          <w:color w:val="000000"/>
          <w:sz w:val="22"/>
          <w:shd w:fill="auto" w:val="clear"/>
        </w:rPr>
        <w:t>DEPÓSITO CENTRAL DE MUNIÇÃO</w:t>
      </w:r>
    </w:p>
    <w:p>
      <w:pPr>
        <w:pStyle w:val="BodyText"/>
        <w:spacing w:before="0" w:after="0"/>
        <w:ind w:hanging="0" w:left="0" w:right="0"/>
        <w:jc w:val="center"/>
        <w:rPr>
          <w:rFonts w:ascii="Arial" w:hAnsi="Arial"/>
        </w:rPr>
      </w:pPr>
      <w:r>
        <w:rPr>
          <w:rFonts w:ascii="Arial" w:hAnsi="Arial"/>
          <w:b/>
          <w:color w:val="000000"/>
          <w:sz w:val="22"/>
          <w:shd w:fill="auto" w:val="clear"/>
        </w:rPr>
        <w:t>(D C M B / 1918)</w:t>
      </w:r>
    </w:p>
    <w:p>
      <w:pPr>
        <w:pStyle w:val="BodyText"/>
        <w:spacing w:before="0" w:after="0"/>
        <w:ind w:hanging="0" w:left="0" w:right="0"/>
        <w:jc w:val="center"/>
        <w:rPr>
          <w:rFonts w:ascii="Arial" w:hAnsi="Arial"/>
        </w:rPr>
      </w:pPr>
      <w:r>
        <w:rPr>
          <w:rFonts w:ascii="Arial" w:hAnsi="Arial"/>
          <w:shd w:fill="auto" w:val="clear"/>
        </w:rPr>
        <w:t> </w:t>
      </w:r>
    </w:p>
    <w:p>
      <w:pPr>
        <w:pStyle w:val="BodyText"/>
        <w:spacing w:before="0" w:after="0"/>
        <w:ind w:hanging="0" w:left="0" w:right="0"/>
        <w:jc w:val="center"/>
        <w:rPr>
          <w:rFonts w:ascii="Arial" w:hAnsi="Arial"/>
        </w:rPr>
      </w:pPr>
      <w:r>
        <w:rPr>
          <w:rFonts w:ascii="Arial" w:hAnsi="Arial"/>
          <w:b/>
          <w:color w:val="000000"/>
          <w:sz w:val="24"/>
          <w:shd w:fill="auto" w:val="clear"/>
        </w:rPr>
        <w:t>PREGÃO ELETRÔNICO SRP Nº 90005/2025</w:t>
      </w:r>
    </w:p>
    <w:p>
      <w:pPr>
        <w:pStyle w:val="BodyText"/>
        <w:spacing w:before="0" w:after="0"/>
        <w:ind w:hanging="0" w:left="0" w:right="0"/>
        <w:jc w:val="center"/>
        <w:rPr>
          <w:rFonts w:ascii="Arial" w:hAnsi="Arial"/>
        </w:rPr>
      </w:pPr>
      <w:r>
        <w:rPr>
          <w:rFonts w:ascii="Arial" w:hAnsi="Arial"/>
        </w:rPr>
      </w:r>
    </w:p>
    <w:p>
      <w:pPr>
        <w:pStyle w:val="BodyText"/>
        <w:spacing w:before="0" w:after="0"/>
        <w:ind w:hanging="0" w:left="0" w:right="0"/>
        <w:jc w:val="center"/>
        <w:rPr>
          <w:rFonts w:ascii="Arial" w:hAnsi="Arial"/>
        </w:rPr>
      </w:pPr>
      <w:r>
        <w:rPr>
          <w:rFonts w:ascii="Arial" w:hAnsi="Arial"/>
          <w:shd w:fill="auto" w:val="clear"/>
        </w:rPr>
        <w:t> </w:t>
      </w:r>
    </w:p>
    <w:p>
      <w:pPr>
        <w:pStyle w:val="BodyText"/>
        <w:spacing w:before="0" w:after="0"/>
        <w:ind w:hanging="0" w:left="0" w:right="0"/>
        <w:jc w:val="center"/>
        <w:rPr>
          <w:color w:val="000000"/>
        </w:rPr>
      </w:pPr>
      <w:r>
        <w:rPr>
          <w:rFonts w:ascii="Arial" w:hAnsi="Arial"/>
          <w:b/>
          <w:color w:val="000000"/>
          <w:sz w:val="24"/>
          <w:shd w:fill="auto" w:val="clear"/>
        </w:rPr>
        <w:t>(Processo Administrativo n°</w:t>
      </w:r>
      <w:r>
        <w:rPr>
          <w:rFonts w:ascii="Arial" w:hAnsi="Arial"/>
          <w:color w:val="000000"/>
          <w:shd w:fill="auto" w:val="clear"/>
        </w:rPr>
        <w:t> </w:t>
      </w:r>
      <w:r>
        <w:rPr>
          <w:rFonts w:eastAsia="Times New Roman" w:cs="Times New Roman" w:ascii="Arial" w:hAnsi="Arial"/>
          <w:b/>
          <w:bCs/>
          <w:color w:val="000000"/>
          <w:sz w:val="24"/>
          <w:szCs w:val="24"/>
          <w:shd w:fill="auto" w:val="clear"/>
        </w:rPr>
        <w:t>64449.000361/2025-36</w:t>
      </w:r>
      <w:r>
        <w:rPr>
          <w:rFonts w:ascii="Arial" w:hAnsi="Arial"/>
          <w:b/>
          <w:color w:val="000000"/>
          <w:sz w:val="24"/>
          <w:shd w:fill="auto" w:val="clear"/>
        </w:rPr>
        <w:t>)</w:t>
      </w:r>
    </w:p>
    <w:p>
      <w:pPr>
        <w:pStyle w:val="Normal"/>
        <w:spacing w:lineRule="auto" w:line="312" w:before="120" w:after="288"/>
        <w:jc w:val="center"/>
        <w:rPr>
          <w:rFonts w:ascii="Arial" w:hAnsi="Arial" w:cs="Arial"/>
          <w:bCs/>
          <w:color w:val="000000"/>
          <w:sz w:val="20"/>
          <w:szCs w:val="20"/>
        </w:rPr>
      </w:pPr>
      <w:r>
        <w:rPr>
          <w:rFonts w:cs="Arial" w:ascii="Arial" w:hAnsi="Arial"/>
          <w:bCs/>
          <w:color w:val="000000"/>
          <w:sz w:val="20"/>
          <w:szCs w:val="20"/>
        </w:rPr>
      </w:r>
    </w:p>
    <w:p>
      <w:pPr>
        <w:pStyle w:val="Nivel01"/>
        <w:numPr>
          <w:ilvl w:val="0"/>
          <w:numId w:val="4"/>
        </w:numPr>
        <w:ind w:hanging="0" w:left="0"/>
        <w:rPr>
          <w:rFonts w:ascii="Arial" w:hAnsi="Arial"/>
        </w:rPr>
      </w:pPr>
      <w:r>
        <w:rPr/>
        <w:t>CONDIÇÕES GERAIS DA CONTRATAÇÃO</w:t>
      </w:r>
    </w:p>
    <w:p>
      <w:pPr>
        <w:pStyle w:val="Normal"/>
        <w:numPr>
          <w:ilvl w:val="0"/>
          <w:numId w:val="0"/>
        </w:numPr>
        <w:ind w:hanging="0" w:left="0" w:right="0"/>
        <w:jc w:val="both"/>
        <w:rPr>
          <w:color w:val="000000"/>
        </w:rPr>
      </w:pPr>
      <w:r>
        <w:rPr>
          <w:rFonts w:eastAsia="Times New Roman" w:cs="Times New Roman" w:ascii="Times New Roman" w:hAnsi="Times New Roman"/>
          <w:b w:val="false"/>
          <w:bCs w:val="false"/>
          <w:i w:val="false"/>
          <w:iCs w:val="false"/>
          <w:color w:val="000000"/>
          <w:w w:val="105"/>
          <w:sz w:val="24"/>
          <w:szCs w:val="24"/>
        </w:rPr>
        <w:t xml:space="preserve"> </w:t>
      </w:r>
      <w:r>
        <w:rPr>
          <w:rFonts w:eastAsia="Times New Roman" w:cs="Times New Roman" w:ascii="Times New Roman" w:hAnsi="Times New Roman"/>
          <w:b w:val="false"/>
          <w:bCs w:val="false"/>
          <w:i w:val="false"/>
          <w:iCs w:val="false"/>
          <w:color w:val="000000"/>
          <w:w w:val="105"/>
          <w:sz w:val="24"/>
          <w:szCs w:val="24"/>
        </w:rPr>
        <w:tab/>
      </w:r>
      <w:r>
        <w:rPr>
          <w:rFonts w:eastAsia="Times New Roman" w:cs="Times New Roman" w:ascii="Arial MT" w:hAnsi="Arial MT"/>
          <w:b w:val="false"/>
          <w:bCs w:val="false"/>
          <w:i w:val="false"/>
          <w:iCs w:val="false"/>
          <w:color w:val="000000"/>
          <w:w w:val="105"/>
          <w:sz w:val="24"/>
          <w:szCs w:val="24"/>
        </w:rPr>
        <w:t>Aquisição de materiais para manutenção das piscinas da vila militar do Depósito Central de Munição.</w:t>
      </w:r>
      <w:r>
        <w:rPr>
          <w:rFonts w:eastAsia="Times New Roman" w:cs="Times New Roman" w:ascii="Times New Roman" w:hAnsi="Times New Roman"/>
          <w:b w:val="false"/>
          <w:bCs w:val="false"/>
          <w:i w:val="false"/>
          <w:iCs w:val="false"/>
          <w:color w:val="000000"/>
          <w:w w:val="105"/>
          <w:sz w:val="24"/>
          <w:szCs w:val="24"/>
        </w:rPr>
        <w:t xml:space="preserve"> </w:t>
      </w:r>
    </w:p>
    <w:tbl>
      <w:tblPr>
        <w:tblW w:w="1020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78"/>
        <w:gridCol w:w="4081"/>
        <w:gridCol w:w="859"/>
        <w:gridCol w:w="1243"/>
        <w:gridCol w:w="625"/>
        <w:gridCol w:w="1241"/>
        <w:gridCol w:w="1476"/>
      </w:tblGrid>
      <w:tr>
        <w:trPr>
          <w:trHeight w:val="921" w:hRule="atLeast"/>
        </w:trPr>
        <w:tc>
          <w:tcPr>
            <w:tcW w:w="678" w:type="dxa"/>
            <w:tcBorders>
              <w:top w:val="single" w:sz="4" w:space="0" w:color="000000"/>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Item</w:t>
            </w:r>
          </w:p>
        </w:tc>
        <w:tc>
          <w:tcPr>
            <w:tcW w:w="4081" w:type="dxa"/>
            <w:tcBorders>
              <w:top w:val="single" w:sz="4" w:space="0" w:color="000000"/>
              <w:left w:val="single" w:sz="4" w:space="0" w:color="000000"/>
              <w:bottom w:val="single" w:sz="4" w:space="0" w:color="000000"/>
            </w:tcBorders>
            <w:vAlign w:val="center"/>
          </w:tcPr>
          <w:p>
            <w:pPr>
              <w:pStyle w:val="Standard"/>
              <w:widowControl w:val="false"/>
              <w:ind w:hanging="0" w:left="180" w:right="0"/>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Descrição/Especificação</w:t>
            </w:r>
          </w:p>
        </w:tc>
        <w:tc>
          <w:tcPr>
            <w:tcW w:w="859"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ind w:hanging="0" w:left="39" w:right="0"/>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CATMAT</w:t>
            </w:r>
          </w:p>
        </w:tc>
        <w:tc>
          <w:tcPr>
            <w:tcW w:w="625"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Qtde</w:t>
            </w:r>
          </w:p>
        </w:tc>
        <w:tc>
          <w:tcPr>
            <w:tcW w:w="1241"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Valor</w:t>
            </w:r>
          </w:p>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Unitário</w:t>
            </w:r>
          </w:p>
        </w:tc>
        <w:tc>
          <w:tcPr>
            <w:tcW w:w="1476"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Valor</w:t>
            </w:r>
          </w:p>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Total</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01</w:t>
            </w:r>
          </w:p>
        </w:tc>
        <w:tc>
          <w:tcPr>
            <w:tcW w:w="4081" w:type="dxa"/>
            <w:tcBorders>
              <w:left w:val="single" w:sz="4" w:space="0" w:color="000000"/>
              <w:bottom w:val="single" w:sz="4" w:space="0" w:color="000000"/>
            </w:tcBorders>
            <w:vAlign w:val="center"/>
          </w:tcPr>
          <w:p>
            <w:pPr>
              <w:pStyle w:val="Normal"/>
              <w:widowControl w:val="false"/>
              <w:suppressAutoHyphens w:val="false"/>
              <w:bidi w:val="0"/>
              <w:jc w:val="center"/>
              <w:rPr>
                <w:rFonts w:ascii="Times New Roman" w:hAnsi="Times New Roman"/>
                <w:color w:val="000000"/>
                <w:sz w:val="20"/>
                <w:szCs w:val="20"/>
              </w:rPr>
            </w:pPr>
            <w:r>
              <w:rPr>
                <w:rFonts w:ascii="Times New Roman" w:hAnsi="Times New Roman"/>
                <w:b w:val="false"/>
                <w:i w:val="false"/>
                <w:strike w:val="false"/>
                <w:dstrike w:val="false"/>
                <w:outline w:val="false"/>
                <w:shadow w:val="false"/>
                <w:color w:val="000000"/>
                <w:sz w:val="20"/>
                <w:szCs w:val="20"/>
                <w:u w:val="none"/>
                <w:em w:val="none"/>
              </w:rPr>
              <w:t>CABO TELESCÓPICO 5 METROS</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623902</w:t>
            </w:r>
          </w:p>
        </w:tc>
        <w:tc>
          <w:tcPr>
            <w:tcW w:w="625"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10</w:t>
            </w:r>
          </w:p>
        </w:tc>
        <w:tc>
          <w:tcPr>
            <w:tcW w:w="1241"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R$ 148,50</w:t>
            </w:r>
          </w:p>
        </w:tc>
        <w:tc>
          <w:tcPr>
            <w:tcW w:w="1476"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R$ 1.485,00</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02</w:t>
            </w:r>
          </w:p>
        </w:tc>
        <w:tc>
          <w:tcPr>
            <w:tcW w:w="4081" w:type="dxa"/>
            <w:tcBorders>
              <w:left w:val="single" w:sz="4" w:space="0" w:color="000000"/>
              <w:bottom w:val="single" w:sz="4" w:space="0" w:color="000000"/>
            </w:tcBorders>
            <w:vAlign w:val="center"/>
          </w:tcPr>
          <w:p>
            <w:pPr>
              <w:pStyle w:val="Normal"/>
              <w:widowControl w:val="false"/>
              <w:bidi w:val="0"/>
              <w:jc w:val="center"/>
              <w:rPr>
                <w:rFonts w:ascii="Times New Roman" w:hAnsi="Times New Roman"/>
                <w:color w:val="000000"/>
                <w:sz w:val="20"/>
                <w:szCs w:val="20"/>
              </w:rPr>
            </w:pPr>
            <w:r>
              <w:rPr>
                <w:rFonts w:ascii="Times New Roman" w:hAnsi="Times New Roman"/>
                <w:b w:val="false"/>
                <w:i w:val="false"/>
                <w:strike w:val="false"/>
                <w:dstrike w:val="false"/>
                <w:outline w:val="false"/>
                <w:shadow w:val="false"/>
                <w:color w:val="000000"/>
                <w:sz w:val="20"/>
                <w:szCs w:val="20"/>
                <w:u w:val="none"/>
                <w:em w:val="none"/>
                <w:lang w:val="pt-PT"/>
              </w:rPr>
              <w:t>KIT PARA TESTE DE ÁGUA DE PISCINA, PARA MEDIÇÃO DA ALCALINIDADE, PH E CLORO, ESTOJO COM RECIPIENTE PARA ANÁLISE DA ÁGUA, 1 FRASCO DE SOLUÇÃO DE VERMELHO DE FENOL (REAGENTE PARA PH) E 1 TUBO DE SOLUÇÃO DE ORTOLUIDINA (REAGENTE PARA CLORO)</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234691</w:t>
            </w:r>
          </w:p>
        </w:tc>
        <w:tc>
          <w:tcPr>
            <w:tcW w:w="625"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r>
          </w:p>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r>
          </w:p>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20</w:t>
            </w:r>
          </w:p>
        </w:tc>
        <w:tc>
          <w:tcPr>
            <w:tcW w:w="1241"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spacing w:val="-5"/>
                <w:w w:val="105"/>
              </w:rPr>
            </w:pPr>
            <w:r>
              <w:rPr>
                <w:spacing w:val="-5"/>
                <w:w w:val="105"/>
              </w:rPr>
            </w:r>
          </w:p>
          <w:p>
            <w:pPr>
              <w:pStyle w:val="TableParagraph"/>
              <w:widowControl w:val="false"/>
              <w:spacing w:before="1" w:after="0"/>
              <w:ind w:hanging="0" w:left="113" w:right="0"/>
              <w:jc w:val="center"/>
              <w:rPr>
                <w:spacing w:val="-5"/>
                <w:w w:val="105"/>
              </w:rPr>
            </w:pPr>
            <w:r>
              <w:rPr>
                <w:spacing w:val="-5"/>
                <w:w w:val="105"/>
              </w:rPr>
            </w:r>
          </w:p>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R$ 67,04</w:t>
            </w:r>
          </w:p>
        </w:tc>
        <w:tc>
          <w:tcPr>
            <w:tcW w:w="1476"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spacing w:val="-5"/>
                <w:w w:val="105"/>
              </w:rPr>
            </w:pPr>
            <w:r>
              <w:rPr>
                <w:spacing w:val="-5"/>
                <w:w w:val="105"/>
              </w:rPr>
            </w:r>
          </w:p>
          <w:p>
            <w:pPr>
              <w:pStyle w:val="TableParagraph"/>
              <w:widowControl w:val="false"/>
              <w:spacing w:before="1" w:after="0"/>
              <w:ind w:hanging="0" w:left="113" w:right="0"/>
              <w:jc w:val="left"/>
              <w:rPr>
                <w:spacing w:val="-5"/>
                <w:w w:val="105"/>
              </w:rPr>
            </w:pPr>
            <w:r>
              <w:rPr>
                <w:spacing w:val="-5"/>
                <w:w w:val="105"/>
              </w:rPr>
            </w:r>
          </w:p>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R$ 1.340,80</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03</w:t>
            </w:r>
          </w:p>
        </w:tc>
        <w:tc>
          <w:tcPr>
            <w:tcW w:w="4081" w:type="dxa"/>
            <w:tcBorders>
              <w:left w:val="single" w:sz="4" w:space="0" w:color="000000"/>
              <w:bottom w:val="single" w:sz="4" w:space="0" w:color="000000"/>
            </w:tcBorders>
            <w:vAlign w:val="center"/>
          </w:tcPr>
          <w:p>
            <w:pPr>
              <w:pStyle w:val="Normal"/>
              <w:widowControl w:val="false"/>
              <w:bidi w:val="0"/>
              <w:jc w:val="center"/>
              <w:rPr>
                <w:rFonts w:ascii="Times New Roman" w:hAnsi="Times New Roman"/>
                <w:color w:val="000000"/>
                <w:sz w:val="20"/>
                <w:szCs w:val="20"/>
              </w:rPr>
            </w:pPr>
            <w:r>
              <w:rPr>
                <w:rFonts w:ascii="Times New Roman" w:hAnsi="Times New Roman"/>
                <w:b w:val="false"/>
                <w:i w:val="false"/>
                <w:strike w:val="false"/>
                <w:dstrike w:val="false"/>
                <w:outline w:val="false"/>
                <w:shadow w:val="false"/>
                <w:color w:val="000000"/>
                <w:sz w:val="20"/>
                <w:szCs w:val="20"/>
                <w:u w:val="none"/>
                <w:em w:val="none"/>
              </w:rPr>
              <w:t>ELEVADOR DE ALCALINIDADE PCT 2KG</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412637</w:t>
            </w:r>
          </w:p>
        </w:tc>
        <w:tc>
          <w:tcPr>
            <w:tcW w:w="625"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100</w:t>
            </w:r>
          </w:p>
        </w:tc>
        <w:tc>
          <w:tcPr>
            <w:tcW w:w="1241"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R$ 63,84</w:t>
            </w:r>
          </w:p>
        </w:tc>
        <w:tc>
          <w:tcPr>
            <w:tcW w:w="1476"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R$ 6.384,00</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04</w:t>
            </w:r>
          </w:p>
        </w:tc>
        <w:tc>
          <w:tcPr>
            <w:tcW w:w="4081" w:type="dxa"/>
            <w:tcBorders>
              <w:left w:val="single" w:sz="4" w:space="0" w:color="000000"/>
              <w:bottom w:val="single" w:sz="4" w:space="0" w:color="000000"/>
            </w:tcBorders>
            <w:vAlign w:val="center"/>
          </w:tcPr>
          <w:p>
            <w:pPr>
              <w:pStyle w:val="Normal"/>
              <w:widowControl w:val="false"/>
              <w:bidi w:val="0"/>
              <w:jc w:val="center"/>
              <w:rPr>
                <w:rFonts w:ascii="Times New Roman" w:hAnsi="Times New Roman"/>
                <w:color w:val="000000"/>
                <w:sz w:val="20"/>
                <w:szCs w:val="20"/>
              </w:rPr>
            </w:pPr>
            <w:r>
              <w:rPr>
                <w:rFonts w:ascii="Times New Roman" w:hAnsi="Times New Roman"/>
                <w:b w:val="false"/>
                <w:i w:val="false"/>
                <w:strike w:val="false"/>
                <w:dstrike w:val="false"/>
                <w:outline w:val="false"/>
                <w:shadow w:val="false"/>
                <w:color w:val="000000"/>
                <w:sz w:val="20"/>
                <w:szCs w:val="20"/>
                <w:u w:val="none"/>
                <w:em w:val="none"/>
              </w:rPr>
              <w:t>PENEIRA PLÁSTICA INJETADA PARA PISCINA, TIPO CATA FOLHA, ARMAÇÃO EM POLIPROPILENO, TELA EM NYLON</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602681</w:t>
            </w:r>
          </w:p>
        </w:tc>
        <w:tc>
          <w:tcPr>
            <w:tcW w:w="625"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30</w:t>
            </w:r>
          </w:p>
        </w:tc>
        <w:tc>
          <w:tcPr>
            <w:tcW w:w="1241"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spacing w:val="-5"/>
                <w:w w:val="105"/>
              </w:rPr>
            </w:pPr>
            <w:r>
              <w:rPr>
                <w:spacing w:val="-5"/>
                <w:w w:val="105"/>
              </w:rPr>
            </w:r>
          </w:p>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R$ 67,04</w:t>
            </w:r>
          </w:p>
        </w:tc>
        <w:tc>
          <w:tcPr>
            <w:tcW w:w="1476"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spacing w:val="-5"/>
                <w:w w:val="105"/>
              </w:rPr>
            </w:pPr>
            <w:r>
              <w:rPr>
                <w:spacing w:val="-5"/>
                <w:w w:val="105"/>
              </w:rPr>
            </w:r>
          </w:p>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R$ 2.011,20</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05</w:t>
            </w:r>
          </w:p>
        </w:tc>
        <w:tc>
          <w:tcPr>
            <w:tcW w:w="4081" w:type="dxa"/>
            <w:tcBorders>
              <w:left w:val="single" w:sz="4" w:space="0" w:color="000000"/>
              <w:bottom w:val="single" w:sz="4" w:space="0" w:color="000000"/>
            </w:tcBorders>
            <w:vAlign w:val="center"/>
          </w:tcPr>
          <w:p>
            <w:pPr>
              <w:pStyle w:val="Normal"/>
              <w:widowControl w:val="false"/>
              <w:bidi w:val="0"/>
              <w:jc w:val="center"/>
              <w:rPr>
                <w:rFonts w:ascii="Times New Roman" w:hAnsi="Times New Roman"/>
                <w:color w:val="000000"/>
                <w:sz w:val="20"/>
                <w:szCs w:val="20"/>
              </w:rPr>
            </w:pPr>
            <w:r>
              <w:rPr>
                <w:rFonts w:ascii="Times New Roman" w:hAnsi="Times New Roman"/>
                <w:b w:val="false"/>
                <w:i w:val="false"/>
                <w:strike w:val="false"/>
                <w:dstrike w:val="false"/>
                <w:outline w:val="false"/>
                <w:shadow w:val="false"/>
                <w:color w:val="000000"/>
                <w:sz w:val="20"/>
                <w:szCs w:val="20"/>
                <w:u w:val="none"/>
                <w:em w:val="none"/>
              </w:rPr>
              <w:t>SULFATO DE ALUMÍNIO, ASPECTO FÍSICO CRISTAL INCOLOR, INODORO, FÓRMULA QUÍMICA AL2(SO4)3 ANIDRO, PESO MOLECULAR 342,14 G/MOL, GRAU DE PUREZA MÍNIMA DE 98%, NÚMERO DE REFERÊNCIA QUÍMICA CAS</w:t>
            </w:r>
            <w:r>
              <w:rPr>
                <w:rFonts w:ascii="Times New Roman" w:hAnsi="Times New Roman"/>
                <w:b w:val="false"/>
                <w:i w:val="false"/>
                <w:strike w:val="false"/>
                <w:dstrike w:val="false"/>
                <w:outline w:val="false"/>
                <w:shadow w:val="false"/>
                <w:color w:val="000000"/>
                <w:sz w:val="22"/>
                <w:szCs w:val="22"/>
                <w:u w:val="none"/>
                <w:em w:val="none"/>
              </w:rPr>
              <w:t>10043-01-3. PCT DE 2KG</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458137</w:t>
            </w:r>
          </w:p>
        </w:tc>
        <w:tc>
          <w:tcPr>
            <w:tcW w:w="625"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r>
          </w:p>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r>
          </w:p>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100</w:t>
            </w:r>
          </w:p>
        </w:tc>
        <w:tc>
          <w:tcPr>
            <w:tcW w:w="1241"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spacing w:val="-5"/>
                <w:w w:val="105"/>
              </w:rPr>
            </w:pPr>
            <w:r>
              <w:rPr>
                <w:spacing w:val="-5"/>
                <w:w w:val="105"/>
              </w:rPr>
            </w:r>
          </w:p>
          <w:p>
            <w:pPr>
              <w:pStyle w:val="TableParagraph"/>
              <w:widowControl w:val="false"/>
              <w:spacing w:before="1" w:after="0"/>
              <w:ind w:hanging="0" w:left="113" w:right="0"/>
              <w:jc w:val="center"/>
              <w:rPr>
                <w:spacing w:val="-5"/>
                <w:w w:val="105"/>
              </w:rPr>
            </w:pPr>
            <w:r>
              <w:rPr>
                <w:spacing w:val="-5"/>
                <w:w w:val="105"/>
              </w:rPr>
            </w:r>
          </w:p>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R$ 28,72</w:t>
            </w:r>
          </w:p>
        </w:tc>
        <w:tc>
          <w:tcPr>
            <w:tcW w:w="1476"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spacing w:val="-5"/>
                <w:w w:val="105"/>
              </w:rPr>
            </w:pPr>
            <w:r>
              <w:rPr>
                <w:spacing w:val="-5"/>
                <w:w w:val="105"/>
              </w:rPr>
            </w:r>
          </w:p>
          <w:p>
            <w:pPr>
              <w:pStyle w:val="TableParagraph"/>
              <w:widowControl w:val="false"/>
              <w:spacing w:before="1" w:after="0"/>
              <w:ind w:hanging="0" w:left="113" w:right="0"/>
              <w:jc w:val="left"/>
              <w:rPr>
                <w:spacing w:val="-5"/>
                <w:w w:val="105"/>
              </w:rPr>
            </w:pPr>
            <w:r>
              <w:rPr>
                <w:spacing w:val="-5"/>
                <w:w w:val="105"/>
              </w:rPr>
            </w:r>
          </w:p>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R$ 2.872,00</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06</w:t>
            </w:r>
          </w:p>
        </w:tc>
        <w:tc>
          <w:tcPr>
            <w:tcW w:w="4081" w:type="dxa"/>
            <w:tcBorders>
              <w:left w:val="single" w:sz="4" w:space="0" w:color="000000"/>
              <w:bottom w:val="single" w:sz="4" w:space="0" w:color="000000"/>
            </w:tcBorders>
            <w:vAlign w:val="center"/>
          </w:tcPr>
          <w:p>
            <w:pPr>
              <w:pStyle w:val="Normal"/>
              <w:widowControl w:val="false"/>
              <w:bidi w:val="0"/>
              <w:jc w:val="center"/>
              <w:rPr>
                <w:rFonts w:ascii="Times New Roman" w:hAnsi="Times New Roman"/>
                <w:color w:val="000000"/>
                <w:sz w:val="20"/>
                <w:szCs w:val="20"/>
              </w:rPr>
            </w:pPr>
            <w:r>
              <w:rPr>
                <w:rFonts w:ascii="Times New Roman" w:hAnsi="Times New Roman"/>
                <w:b w:val="false"/>
                <w:i w:val="false"/>
                <w:strike w:val="false"/>
                <w:dstrike w:val="false"/>
                <w:outline w:val="false"/>
                <w:shadow w:val="false"/>
                <w:color w:val="000000"/>
                <w:sz w:val="20"/>
                <w:szCs w:val="20"/>
                <w:u w:val="none"/>
                <w:em w:val="none"/>
              </w:rPr>
              <w:t>ALGICIDA, COMPOSIÇÃO QUATERNÁRIO POLIMÉRICO, USO TRATAMENTO DE ÁGUA. FRASCO 1 LITRO</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608272</w:t>
            </w:r>
          </w:p>
        </w:tc>
        <w:tc>
          <w:tcPr>
            <w:tcW w:w="625"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r>
          </w:p>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100</w:t>
            </w:r>
          </w:p>
        </w:tc>
        <w:tc>
          <w:tcPr>
            <w:tcW w:w="1241"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spacing w:val="-5"/>
                <w:w w:val="105"/>
              </w:rPr>
            </w:pPr>
            <w:r>
              <w:rPr>
                <w:spacing w:val="-5"/>
                <w:w w:val="105"/>
              </w:rPr>
            </w:r>
          </w:p>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R$ 41,44</w:t>
            </w:r>
          </w:p>
        </w:tc>
        <w:tc>
          <w:tcPr>
            <w:tcW w:w="1476"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spacing w:val="-5"/>
                <w:w w:val="105"/>
              </w:rPr>
            </w:pPr>
            <w:r>
              <w:rPr>
                <w:spacing w:val="-5"/>
                <w:w w:val="105"/>
              </w:rPr>
            </w:r>
          </w:p>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R$ 4.144,00</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07</w:t>
            </w:r>
          </w:p>
        </w:tc>
        <w:tc>
          <w:tcPr>
            <w:tcW w:w="4081" w:type="dxa"/>
            <w:tcBorders>
              <w:left w:val="single" w:sz="4" w:space="0" w:color="000000"/>
              <w:bottom w:val="single" w:sz="4" w:space="0" w:color="000000"/>
            </w:tcBorders>
            <w:vAlign w:val="center"/>
          </w:tcPr>
          <w:p>
            <w:pPr>
              <w:pStyle w:val="Normal"/>
              <w:widowControl w:val="false"/>
              <w:bidi w:val="0"/>
              <w:jc w:val="center"/>
              <w:rPr>
                <w:rFonts w:ascii="Times New Roman" w:hAnsi="Times New Roman"/>
                <w:color w:val="000000"/>
                <w:sz w:val="20"/>
                <w:szCs w:val="20"/>
              </w:rPr>
            </w:pPr>
            <w:r>
              <w:rPr>
                <w:rFonts w:ascii="Times New Roman" w:hAnsi="Times New Roman"/>
                <w:b w:val="false"/>
                <w:i w:val="false"/>
                <w:strike w:val="false"/>
                <w:dstrike w:val="false"/>
                <w:outline w:val="false"/>
                <w:shadow w:val="false"/>
                <w:color w:val="000000"/>
                <w:sz w:val="20"/>
                <w:szCs w:val="20"/>
                <w:u w:val="none"/>
                <w:em w:val="none"/>
              </w:rPr>
              <w:t>CLORO PASTILHA A BASE DE HIPOCLORITO DE CÁLCIO, COM 65% A 70% DE CLORO ATIVO, DESTINADO AO TRATAMENTO DE ÁGUA DE PISCINA, PASTILHA DE 200G</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377626</w:t>
            </w:r>
          </w:p>
        </w:tc>
        <w:tc>
          <w:tcPr>
            <w:tcW w:w="625"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r>
          </w:p>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100</w:t>
            </w:r>
          </w:p>
        </w:tc>
        <w:tc>
          <w:tcPr>
            <w:tcW w:w="1241"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spacing w:val="-5"/>
                <w:w w:val="105"/>
              </w:rPr>
            </w:pPr>
            <w:r>
              <w:rPr>
                <w:spacing w:val="-5"/>
                <w:w w:val="105"/>
              </w:rPr>
            </w:r>
          </w:p>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R$ 12,00</w:t>
            </w:r>
          </w:p>
        </w:tc>
        <w:tc>
          <w:tcPr>
            <w:tcW w:w="1476"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spacing w:val="-5"/>
                <w:w w:val="105"/>
              </w:rPr>
            </w:pPr>
            <w:r>
              <w:rPr>
                <w:spacing w:val="-5"/>
                <w:w w:val="105"/>
              </w:rPr>
            </w:r>
          </w:p>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R$ 1.200,00</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08</w:t>
            </w:r>
          </w:p>
        </w:tc>
        <w:tc>
          <w:tcPr>
            <w:tcW w:w="4081" w:type="dxa"/>
            <w:tcBorders>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t>LIMPA BORDAS PARA PISCINA, FRASCO 1 LITRO.</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245564</w:t>
            </w:r>
          </w:p>
        </w:tc>
        <w:tc>
          <w:tcPr>
            <w:tcW w:w="625"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100</w:t>
            </w:r>
          </w:p>
        </w:tc>
        <w:tc>
          <w:tcPr>
            <w:tcW w:w="1241"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R$ 13,60</w:t>
            </w:r>
          </w:p>
        </w:tc>
        <w:tc>
          <w:tcPr>
            <w:tcW w:w="1476"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R$ 1.360,00</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09</w:t>
            </w:r>
          </w:p>
        </w:tc>
        <w:tc>
          <w:tcPr>
            <w:tcW w:w="4081" w:type="dxa"/>
            <w:tcBorders>
              <w:left w:val="single" w:sz="4" w:space="0" w:color="000000"/>
              <w:bottom w:val="single" w:sz="4" w:space="0" w:color="000000"/>
            </w:tcBorders>
            <w:vAlign w:val="center"/>
          </w:tcPr>
          <w:p>
            <w:pPr>
              <w:pStyle w:val="Normal"/>
              <w:widowControl w:val="false"/>
              <w:bidi w:val="0"/>
              <w:jc w:val="center"/>
              <w:rPr>
                <w:rFonts w:ascii="Times New Roman" w:hAnsi="Times New Roman"/>
                <w:color w:val="000000"/>
                <w:sz w:val="20"/>
                <w:szCs w:val="20"/>
              </w:rPr>
            </w:pPr>
            <w:r>
              <w:rPr>
                <w:rFonts w:ascii="Times New Roman" w:hAnsi="Times New Roman"/>
                <w:color w:val="000000"/>
                <w:sz w:val="20"/>
                <w:szCs w:val="20"/>
              </w:rPr>
              <w:t>RODO ASPIRADOR - PISCINA, - RODO ASPIRADOR PLÁSTICO 8 RODAS.</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602202</w:t>
            </w:r>
          </w:p>
        </w:tc>
        <w:tc>
          <w:tcPr>
            <w:tcW w:w="625"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10</w:t>
            </w:r>
          </w:p>
        </w:tc>
        <w:tc>
          <w:tcPr>
            <w:tcW w:w="1241"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R$ 100,64</w:t>
            </w:r>
          </w:p>
        </w:tc>
        <w:tc>
          <w:tcPr>
            <w:tcW w:w="1476"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R$ 1.006,40</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10</w:t>
            </w:r>
          </w:p>
        </w:tc>
        <w:tc>
          <w:tcPr>
            <w:tcW w:w="4081" w:type="dxa"/>
            <w:tcBorders>
              <w:left w:val="single" w:sz="4" w:space="0" w:color="000000"/>
              <w:bottom w:val="single" w:sz="4" w:space="0" w:color="000000"/>
            </w:tcBorders>
            <w:vAlign w:val="center"/>
          </w:tcPr>
          <w:p>
            <w:pPr>
              <w:pStyle w:val="Normal"/>
              <w:widowControl w:val="false"/>
              <w:bidi w:val="0"/>
              <w:jc w:val="center"/>
              <w:rPr>
                <w:rFonts w:ascii="Times New Roman" w:hAnsi="Times New Roman"/>
                <w:color w:val="000000"/>
                <w:sz w:val="20"/>
                <w:szCs w:val="20"/>
              </w:rPr>
            </w:pPr>
            <w:r>
              <w:rPr>
                <w:rFonts w:ascii="Times New Roman" w:hAnsi="Times New Roman"/>
                <w:color w:val="000000"/>
                <w:sz w:val="20"/>
                <w:szCs w:val="20"/>
              </w:rPr>
              <w:t>CLORADOR FLUTUANTE EM PLÁSTICO</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614980</w:t>
            </w:r>
          </w:p>
        </w:tc>
        <w:tc>
          <w:tcPr>
            <w:tcW w:w="625"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15</w:t>
            </w:r>
          </w:p>
        </w:tc>
        <w:tc>
          <w:tcPr>
            <w:tcW w:w="1241"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R$ 48,00</w:t>
            </w:r>
          </w:p>
        </w:tc>
        <w:tc>
          <w:tcPr>
            <w:tcW w:w="1476"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R$ 720,00</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11</w:t>
            </w:r>
          </w:p>
        </w:tc>
        <w:tc>
          <w:tcPr>
            <w:tcW w:w="4081" w:type="dxa"/>
            <w:tcBorders>
              <w:left w:val="single" w:sz="4" w:space="0" w:color="000000"/>
              <w:bottom w:val="single" w:sz="4" w:space="0" w:color="000000"/>
            </w:tcBorders>
            <w:vAlign w:val="center"/>
          </w:tcPr>
          <w:p>
            <w:pPr>
              <w:pStyle w:val="Normal"/>
              <w:widowControl w:val="false"/>
              <w:bidi w:val="0"/>
              <w:jc w:val="center"/>
              <w:rPr>
                <w:rFonts w:ascii="Times New Roman" w:hAnsi="Times New Roman"/>
                <w:color w:val="000000"/>
                <w:sz w:val="20"/>
                <w:szCs w:val="20"/>
              </w:rPr>
            </w:pPr>
            <w:r>
              <w:rPr>
                <w:rFonts w:ascii="Times New Roman" w:hAnsi="Times New Roman"/>
                <w:b w:val="false"/>
                <w:i w:val="false"/>
                <w:strike w:val="false"/>
                <w:dstrike w:val="false"/>
                <w:outline w:val="false"/>
                <w:shadow w:val="false"/>
                <w:color w:val="000000"/>
                <w:sz w:val="20"/>
                <w:szCs w:val="20"/>
                <w:u w:val="none"/>
                <w:em w:val="none"/>
                <w:lang w:val="pt-PT"/>
              </w:rPr>
              <w:t>CLARIFICANTE, COMPOSIÇÃO POLICLORETO DE ALUMÍNIO, ASPECTO FÍSICO LÍQUIDO, APLICAÇÃO PISCINA</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454047</w:t>
            </w:r>
          </w:p>
        </w:tc>
        <w:tc>
          <w:tcPr>
            <w:tcW w:w="625"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100</w:t>
            </w:r>
          </w:p>
        </w:tc>
        <w:tc>
          <w:tcPr>
            <w:tcW w:w="1241"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spacing w:val="-5"/>
                <w:w w:val="105"/>
              </w:rPr>
            </w:pPr>
            <w:r>
              <w:rPr>
                <w:spacing w:val="-5"/>
                <w:w w:val="105"/>
              </w:rPr>
            </w:r>
          </w:p>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R$ 31,46</w:t>
            </w:r>
          </w:p>
        </w:tc>
        <w:tc>
          <w:tcPr>
            <w:tcW w:w="1476"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spacing w:val="-5"/>
                <w:w w:val="105"/>
              </w:rPr>
            </w:pPr>
            <w:r>
              <w:rPr>
                <w:spacing w:val="-5"/>
                <w:w w:val="105"/>
              </w:rPr>
            </w:r>
          </w:p>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R$ 3.146,00</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12</w:t>
            </w:r>
          </w:p>
        </w:tc>
        <w:tc>
          <w:tcPr>
            <w:tcW w:w="4081" w:type="dxa"/>
            <w:tcBorders>
              <w:left w:val="single" w:sz="4" w:space="0" w:color="000000"/>
              <w:bottom w:val="single" w:sz="4" w:space="0" w:color="000000"/>
            </w:tcBorders>
            <w:vAlign w:val="center"/>
          </w:tcPr>
          <w:p>
            <w:pPr>
              <w:pStyle w:val="Normal"/>
              <w:widowControl w:val="false"/>
              <w:bidi w:val="0"/>
              <w:jc w:val="center"/>
              <w:rPr>
                <w:rFonts w:ascii="Times New Roman" w:hAnsi="Times New Roman"/>
                <w:color w:val="000000"/>
                <w:sz w:val="20"/>
                <w:szCs w:val="20"/>
              </w:rPr>
            </w:pPr>
            <w:r>
              <w:rPr>
                <w:rFonts w:ascii="Times New Roman" w:hAnsi="Times New Roman"/>
                <w:color w:val="000000"/>
                <w:sz w:val="20"/>
                <w:szCs w:val="20"/>
              </w:rPr>
              <w:t>BALDE DE CLORO GRANULADO EXTRA PREMIUM 10KG AÇÃO 3 EM 1  (65% DE CLORO ATIVO).</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375457</w:t>
            </w:r>
          </w:p>
        </w:tc>
        <w:tc>
          <w:tcPr>
            <w:tcW w:w="625"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100</w:t>
            </w:r>
          </w:p>
        </w:tc>
        <w:tc>
          <w:tcPr>
            <w:tcW w:w="1241"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spacing w:val="-5"/>
                <w:w w:val="105"/>
              </w:rPr>
            </w:pPr>
            <w:r>
              <w:rPr>
                <w:spacing w:val="-5"/>
                <w:w w:val="105"/>
              </w:rPr>
            </w:r>
          </w:p>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R$ 204,15</w:t>
            </w:r>
          </w:p>
        </w:tc>
        <w:tc>
          <w:tcPr>
            <w:tcW w:w="1476"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spacing w:val="-5"/>
                <w:w w:val="105"/>
              </w:rPr>
            </w:pPr>
            <w:r>
              <w:rPr>
                <w:spacing w:val="-5"/>
                <w:w w:val="105"/>
              </w:rPr>
            </w:r>
          </w:p>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R$ 20,415,00</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13</w:t>
            </w:r>
          </w:p>
        </w:tc>
        <w:tc>
          <w:tcPr>
            <w:tcW w:w="4081" w:type="dxa"/>
            <w:tcBorders>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t>CARBONATO DE SÓDIO, ASPECTO FÍSICO PÓ BRANCO, HIGROSCÓPICO, INODORO (BARRILHA LEVE), FÓRMULA QUÍMICA NA2CO3 ANIDRO, PESO MOLECULAR 105,99 G/MOL, GRAU DE PUREZA PUREZA MÍNIMA DE 99%, NÚMERO DE REFERÊNCIA QUÍMICA CAS 497-19-8</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347957</w:t>
            </w:r>
          </w:p>
        </w:tc>
        <w:tc>
          <w:tcPr>
            <w:tcW w:w="625"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r>
          </w:p>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r>
          </w:p>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80</w:t>
            </w:r>
          </w:p>
        </w:tc>
        <w:tc>
          <w:tcPr>
            <w:tcW w:w="1241"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spacing w:val="-5"/>
                <w:w w:val="105"/>
              </w:rPr>
            </w:pPr>
            <w:r>
              <w:rPr>
                <w:spacing w:val="-5"/>
                <w:w w:val="105"/>
              </w:rPr>
            </w:r>
          </w:p>
          <w:p>
            <w:pPr>
              <w:pStyle w:val="TableParagraph"/>
              <w:widowControl w:val="false"/>
              <w:spacing w:before="1" w:after="0"/>
              <w:ind w:hanging="0" w:left="113" w:right="0"/>
              <w:jc w:val="center"/>
              <w:rPr>
                <w:spacing w:val="-5"/>
                <w:w w:val="105"/>
              </w:rPr>
            </w:pPr>
            <w:r>
              <w:rPr>
                <w:spacing w:val="-5"/>
                <w:w w:val="105"/>
              </w:rPr>
            </w:r>
          </w:p>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R$ 24,00</w:t>
            </w:r>
          </w:p>
        </w:tc>
        <w:tc>
          <w:tcPr>
            <w:tcW w:w="1476"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spacing w:val="-5"/>
                <w:w w:val="105"/>
              </w:rPr>
            </w:pPr>
            <w:r>
              <w:rPr>
                <w:spacing w:val="-5"/>
                <w:w w:val="105"/>
              </w:rPr>
            </w:r>
          </w:p>
          <w:p>
            <w:pPr>
              <w:pStyle w:val="TableParagraph"/>
              <w:widowControl w:val="false"/>
              <w:spacing w:before="1" w:after="0"/>
              <w:ind w:hanging="0" w:left="113" w:right="0"/>
              <w:jc w:val="left"/>
              <w:rPr>
                <w:spacing w:val="-5"/>
                <w:w w:val="105"/>
              </w:rPr>
            </w:pPr>
            <w:r>
              <w:rPr>
                <w:spacing w:val="-5"/>
                <w:w w:val="105"/>
              </w:rPr>
            </w:r>
          </w:p>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R$ 1.920,00</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14</w:t>
            </w:r>
          </w:p>
        </w:tc>
        <w:tc>
          <w:tcPr>
            <w:tcW w:w="4081" w:type="dxa"/>
            <w:tcBorders>
              <w:left w:val="single" w:sz="4" w:space="0" w:color="000000"/>
              <w:bottom w:val="single" w:sz="4" w:space="0" w:color="000000"/>
            </w:tcBorders>
            <w:vAlign w:val="center"/>
          </w:tcPr>
          <w:p>
            <w:pPr>
              <w:pStyle w:val="Normal"/>
              <w:widowControl w:val="false"/>
              <w:bidi w:val="0"/>
              <w:jc w:val="center"/>
              <w:rPr>
                <w:rFonts w:ascii="Times New Roman" w:hAnsi="Times New Roman"/>
                <w:color w:val="000000"/>
                <w:sz w:val="20"/>
                <w:szCs w:val="20"/>
              </w:rPr>
            </w:pPr>
            <w:r>
              <w:rPr>
                <w:rFonts w:ascii="Times New Roman" w:hAnsi="Times New Roman"/>
                <w:color w:val="000000"/>
                <w:sz w:val="20"/>
                <w:szCs w:val="20"/>
              </w:rPr>
              <w:t>MANGUEIRA AZUL FLUTUANTE DE ASPIRAÇÃO E LIMPEZA PARA PISCINA, DIÂMETRO DE 2" POLEGADAS OU 50MM. UNIDADE DE 30 METROS</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624110</w:t>
            </w:r>
          </w:p>
        </w:tc>
        <w:tc>
          <w:tcPr>
            <w:tcW w:w="625"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10</w:t>
            </w:r>
          </w:p>
        </w:tc>
        <w:tc>
          <w:tcPr>
            <w:tcW w:w="1241"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spacing w:val="-5"/>
                <w:w w:val="105"/>
              </w:rPr>
            </w:pPr>
            <w:r>
              <w:rPr>
                <w:spacing w:val="-5"/>
                <w:w w:val="105"/>
              </w:rPr>
            </w:r>
          </w:p>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R$ 852,80</w:t>
            </w:r>
          </w:p>
        </w:tc>
        <w:tc>
          <w:tcPr>
            <w:tcW w:w="1476"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spacing w:val="-5"/>
                <w:w w:val="105"/>
              </w:rPr>
            </w:pPr>
            <w:r>
              <w:rPr>
                <w:spacing w:val="-5"/>
                <w:w w:val="105"/>
              </w:rPr>
            </w:r>
          </w:p>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R$ 8.528,00</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15</w:t>
            </w:r>
          </w:p>
        </w:tc>
        <w:tc>
          <w:tcPr>
            <w:tcW w:w="4081" w:type="dxa"/>
            <w:tcBorders>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t>EMENDA PARA MANGUEIRAS DE PISCINAS DE 2" POLEGADAS</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367411</w:t>
            </w:r>
          </w:p>
        </w:tc>
        <w:tc>
          <w:tcPr>
            <w:tcW w:w="625"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10</w:t>
            </w:r>
          </w:p>
        </w:tc>
        <w:tc>
          <w:tcPr>
            <w:tcW w:w="1241"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R$ 29,70</w:t>
            </w:r>
          </w:p>
        </w:tc>
        <w:tc>
          <w:tcPr>
            <w:tcW w:w="1476"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R$ 297,00</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16</w:t>
            </w:r>
          </w:p>
        </w:tc>
        <w:tc>
          <w:tcPr>
            <w:tcW w:w="4081" w:type="dxa"/>
            <w:tcBorders>
              <w:left w:val="single" w:sz="4" w:space="0" w:color="000000"/>
              <w:bottom w:val="single" w:sz="4" w:space="0" w:color="000000"/>
            </w:tcBorders>
            <w:vAlign w:val="center"/>
          </w:tcPr>
          <w:p>
            <w:pPr>
              <w:pStyle w:val="Normal"/>
              <w:widowControl w:val="false"/>
              <w:bidi w:val="0"/>
              <w:jc w:val="center"/>
              <w:rPr>
                <w:rFonts w:ascii="Times New Roman" w:hAnsi="Times New Roman"/>
                <w:color w:val="000000"/>
                <w:sz w:val="20"/>
                <w:szCs w:val="20"/>
              </w:rPr>
            </w:pPr>
            <w:r>
              <w:rPr>
                <w:rFonts w:ascii="Times New Roman" w:hAnsi="Times New Roman"/>
                <w:color w:val="000000"/>
                <w:sz w:val="20"/>
                <w:szCs w:val="20"/>
              </w:rPr>
              <w:t>PH MAIS 1L ÁCIDO LÍQUIDO PARA AUMENTAR O PH E A ALCALINIDADE TOTAL.</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437097</w:t>
            </w:r>
          </w:p>
        </w:tc>
        <w:tc>
          <w:tcPr>
            <w:tcW w:w="625"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50</w:t>
            </w:r>
          </w:p>
        </w:tc>
        <w:tc>
          <w:tcPr>
            <w:tcW w:w="1241"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R$ 59,04</w:t>
            </w:r>
          </w:p>
        </w:tc>
        <w:tc>
          <w:tcPr>
            <w:tcW w:w="1476"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R$ 2.952,00</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17</w:t>
            </w:r>
          </w:p>
        </w:tc>
        <w:tc>
          <w:tcPr>
            <w:tcW w:w="4081" w:type="dxa"/>
            <w:tcBorders>
              <w:left w:val="single" w:sz="4" w:space="0" w:color="000000"/>
              <w:bottom w:val="single" w:sz="4" w:space="0" w:color="000000"/>
            </w:tcBorders>
            <w:vAlign w:val="center"/>
          </w:tcPr>
          <w:p>
            <w:pPr>
              <w:pStyle w:val="Normal"/>
              <w:widowControl w:val="false"/>
              <w:bidi w:val="0"/>
              <w:jc w:val="center"/>
              <w:rPr>
                <w:rFonts w:ascii="Times New Roman" w:hAnsi="Times New Roman"/>
                <w:color w:val="000000"/>
                <w:sz w:val="20"/>
                <w:szCs w:val="20"/>
              </w:rPr>
            </w:pPr>
            <w:r>
              <w:rPr>
                <w:rFonts w:ascii="Times New Roman" w:hAnsi="Times New Roman"/>
                <w:color w:val="000000"/>
                <w:sz w:val="20"/>
                <w:szCs w:val="20"/>
              </w:rPr>
              <w:t>PH MENOS 1L ÁCIDO LÍQUIDO PARA BAIXAR O PH E A ALCALINIDADE TOTAL.</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347957</w:t>
            </w:r>
          </w:p>
        </w:tc>
        <w:tc>
          <w:tcPr>
            <w:tcW w:w="625"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50</w:t>
            </w:r>
          </w:p>
        </w:tc>
        <w:tc>
          <w:tcPr>
            <w:tcW w:w="1241"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R$ 31,84</w:t>
            </w:r>
          </w:p>
        </w:tc>
        <w:tc>
          <w:tcPr>
            <w:tcW w:w="1476"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R$ 1.592,00</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18</w:t>
            </w:r>
          </w:p>
        </w:tc>
        <w:tc>
          <w:tcPr>
            <w:tcW w:w="4081" w:type="dxa"/>
            <w:tcBorders>
              <w:left w:val="single" w:sz="4" w:space="0" w:color="000000"/>
              <w:bottom w:val="single" w:sz="4" w:space="0" w:color="000000"/>
            </w:tcBorders>
            <w:vAlign w:val="center"/>
          </w:tcPr>
          <w:p>
            <w:pPr>
              <w:pStyle w:val="Normal"/>
              <w:widowControl w:val="false"/>
              <w:bidi w:val="0"/>
              <w:jc w:val="center"/>
              <w:rPr>
                <w:rFonts w:ascii="Times New Roman" w:hAnsi="Times New Roman"/>
                <w:color w:val="000000"/>
                <w:sz w:val="20"/>
                <w:szCs w:val="20"/>
              </w:rPr>
            </w:pPr>
            <w:r>
              <w:rPr>
                <w:rFonts w:ascii="Times New Roman" w:hAnsi="Times New Roman"/>
                <w:color w:val="000000"/>
                <w:sz w:val="20"/>
                <w:szCs w:val="20"/>
              </w:rPr>
              <w:t>CAPA DE PROTEÇÃO PARA PISCINA CONFECCIONADA EM VINILONA REFORÇADA COM FIOS DE POLIÉSTER DE ALTA TENSIDADE, PROTEÇÃO CONTRA RAIOS UV, CLORO E MOFO. ESPESSURA DE 0,38MM, PESO DE 390g/m² POR METRO QUADRADO. COR : AZUL ROYAL. FIXAÇÃO A CADA 80CM COM CINTAS DE POLIPROPILENO, REGULADORES TRAVANTE EM NYLON E PITÕES DE LATÃO, REFORÇO VULCANIZADO NA ÁREA DOS ILHÓS E BUCHAS DE ALUMÍNIO. DRENO PARA ÁGUA DE CHUVA, COM MANGUEIRA NÃO FLUTUANTE, PONTEIRAS E ADAPTADOR COM ROSCA- SOB MEDIDA M²</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Metro Quadrado</w:t>
            </w:r>
          </w:p>
        </w:tc>
        <w:tc>
          <w:tcPr>
            <w:tcW w:w="1243" w:type="dxa"/>
            <w:tcBorders>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444740</w:t>
            </w:r>
          </w:p>
        </w:tc>
        <w:tc>
          <w:tcPr>
            <w:tcW w:w="625"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r>
          </w:p>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r>
          </w:p>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115</w:t>
            </w:r>
          </w:p>
        </w:tc>
        <w:tc>
          <w:tcPr>
            <w:tcW w:w="1241"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spacing w:val="-5"/>
                <w:w w:val="105"/>
              </w:rPr>
            </w:pPr>
            <w:r>
              <w:rPr>
                <w:spacing w:val="-5"/>
                <w:w w:val="105"/>
              </w:rPr>
            </w:r>
          </w:p>
          <w:p>
            <w:pPr>
              <w:pStyle w:val="TableParagraph"/>
              <w:widowControl w:val="false"/>
              <w:spacing w:before="1" w:after="0"/>
              <w:ind w:hanging="0" w:left="113" w:right="0"/>
              <w:jc w:val="center"/>
              <w:rPr>
                <w:spacing w:val="-5"/>
                <w:w w:val="105"/>
              </w:rPr>
            </w:pPr>
            <w:r>
              <w:rPr>
                <w:spacing w:val="-5"/>
                <w:w w:val="105"/>
              </w:rPr>
            </w:r>
          </w:p>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R$ 19,20</w:t>
            </w:r>
          </w:p>
        </w:tc>
        <w:tc>
          <w:tcPr>
            <w:tcW w:w="1476"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spacing w:val="-5"/>
                <w:w w:val="105"/>
              </w:rPr>
            </w:pPr>
            <w:r>
              <w:rPr>
                <w:spacing w:val="-5"/>
                <w:w w:val="105"/>
              </w:rPr>
            </w:r>
          </w:p>
          <w:p>
            <w:pPr>
              <w:pStyle w:val="TableParagraph"/>
              <w:widowControl w:val="false"/>
              <w:spacing w:before="1" w:after="0"/>
              <w:ind w:hanging="0" w:left="113" w:right="0"/>
              <w:jc w:val="left"/>
              <w:rPr>
                <w:spacing w:val="-5"/>
                <w:w w:val="105"/>
              </w:rPr>
            </w:pPr>
            <w:r>
              <w:rPr>
                <w:spacing w:val="-5"/>
                <w:w w:val="105"/>
              </w:rPr>
            </w:r>
          </w:p>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R$ 2.208,00</w:t>
            </w:r>
          </w:p>
        </w:tc>
      </w:tr>
      <w:tr>
        <w:trPr>
          <w:trHeight w:val="339" w:hRule="atLeast"/>
        </w:trPr>
        <w:tc>
          <w:tcPr>
            <w:tcW w:w="678" w:type="dxa"/>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19</w:t>
            </w:r>
          </w:p>
        </w:tc>
        <w:tc>
          <w:tcPr>
            <w:tcW w:w="4081" w:type="dxa"/>
            <w:tcBorders>
              <w:left w:val="single" w:sz="4" w:space="0" w:color="000000"/>
              <w:bottom w:val="single" w:sz="4" w:space="0" w:color="000000"/>
            </w:tcBorders>
            <w:vAlign w:val="center"/>
          </w:tcPr>
          <w:p>
            <w:pPr>
              <w:pStyle w:val="Normal"/>
              <w:widowControl w:val="false"/>
              <w:bidi w:val="0"/>
              <w:jc w:val="center"/>
              <w:rPr>
                <w:rFonts w:ascii="Times New Roman" w:hAnsi="Times New Roman"/>
                <w:color w:val="000000"/>
                <w:sz w:val="20"/>
                <w:szCs w:val="20"/>
              </w:rPr>
            </w:pPr>
            <w:r>
              <w:rPr>
                <w:rFonts w:ascii="Times New Roman" w:hAnsi="Times New Roman"/>
                <w:color w:val="000000"/>
                <w:sz w:val="20"/>
                <w:szCs w:val="20"/>
              </w:rPr>
              <w:t>FITA EM NYLON PARA CAPA DE PROTEÇÃO DE PISCINA</w:t>
            </w:r>
          </w:p>
        </w:tc>
        <w:tc>
          <w:tcPr>
            <w:tcW w:w="859"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w:t>
            </w:r>
          </w:p>
        </w:tc>
        <w:tc>
          <w:tcPr>
            <w:tcW w:w="1243" w:type="dxa"/>
            <w:tcBorders>
              <w:left w:val="single" w:sz="4" w:space="0" w:color="000000"/>
              <w:bottom w:val="single" w:sz="4" w:space="0" w:color="000000"/>
              <w:right w:val="single" w:sz="4" w:space="0" w:color="000000"/>
            </w:tcBorders>
            <w:vAlign w:val="center"/>
          </w:tcPr>
          <w:p>
            <w:pPr>
              <w:pStyle w:val="Standard"/>
              <w:widowControl w:val="false"/>
              <w:suppressAutoHyphens w:val="true"/>
              <w:spacing w:before="0" w:after="0"/>
              <w:ind w:hanging="0" w:left="0" w:right="0"/>
              <w:jc w:val="center"/>
              <w:rPr>
                <w:kern w:val="0"/>
                <w:sz w:val="22"/>
                <w:szCs w:val="22"/>
              </w:rPr>
            </w:pPr>
            <w:r>
              <w:rPr>
                <w:kern w:val="0"/>
                <w:sz w:val="22"/>
                <w:szCs w:val="22"/>
              </w:rPr>
              <w:t>620160</w:t>
            </w:r>
          </w:p>
        </w:tc>
        <w:tc>
          <w:tcPr>
            <w:tcW w:w="625"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ascii="Times New Roman" w:hAnsi="Times New Roman"/>
                <w:color w:val="000000"/>
                <w:sz w:val="20"/>
                <w:szCs w:val="20"/>
              </w:rPr>
              <w:t>60</w:t>
            </w:r>
          </w:p>
        </w:tc>
        <w:tc>
          <w:tcPr>
            <w:tcW w:w="1241"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center"/>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R$ 4,00</w:t>
            </w:r>
          </w:p>
        </w:tc>
        <w:tc>
          <w:tcPr>
            <w:tcW w:w="1476" w:type="dxa"/>
            <w:tcBorders>
              <w:left w:val="single" w:sz="4" w:space="0" w:color="000000"/>
              <w:bottom w:val="single" w:sz="4" w:space="0" w:color="000000"/>
              <w:right w:val="single" w:sz="4" w:space="0" w:color="000000"/>
            </w:tcBorders>
            <w:vAlign w:val="center"/>
          </w:tcPr>
          <w:p>
            <w:pPr>
              <w:pStyle w:val="TableParagraph"/>
              <w:widowControl w:val="false"/>
              <w:spacing w:before="1" w:after="0"/>
              <w:ind w:hanging="0" w:left="113" w:right="0"/>
              <w:jc w:val="left"/>
              <w:rPr>
                <w:rFonts w:ascii="Liberation Serif" w:hAnsi="Liberation Serif"/>
                <w:b w:val="false"/>
                <w:bCs w:val="false"/>
                <w:i w:val="false"/>
                <w:i w:val="false"/>
                <w:iCs w:val="false"/>
                <w:strike w:val="false"/>
                <w:dstrike w:val="false"/>
                <w:outline w:val="false"/>
                <w:shadow w:val="false"/>
                <w:color w:val="000000"/>
                <w:sz w:val="21"/>
                <w:szCs w:val="21"/>
                <w:u w:val="none"/>
              </w:rPr>
            </w:pPr>
            <w:r>
              <w:rPr>
                <w:rFonts w:ascii="Liberation Serif" w:hAnsi="Liberation Serif"/>
                <w:b w:val="false"/>
                <w:bCs w:val="false"/>
                <w:i w:val="false"/>
                <w:iCs w:val="false"/>
                <w:strike w:val="false"/>
                <w:dstrike w:val="false"/>
                <w:outline w:val="false"/>
                <w:shadow w:val="false"/>
                <w:color w:val="000000"/>
                <w:spacing w:val="-5"/>
                <w:w w:val="105"/>
                <w:sz w:val="21"/>
                <w:szCs w:val="21"/>
                <w:u w:val="none"/>
              </w:rPr>
              <w:t>R$240,00</w:t>
            </w:r>
          </w:p>
        </w:tc>
      </w:tr>
      <w:tr>
        <w:trPr>
          <w:trHeight w:val="314" w:hRule="atLeast"/>
        </w:trPr>
        <w:tc>
          <w:tcPr>
            <w:tcW w:w="7486" w:type="dxa"/>
            <w:gridSpan w:val="5"/>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bCs/>
                <w:i w:val="false"/>
                <w:caps w:val="false"/>
                <w:smallCaps w:val="false"/>
                <w:strike w:val="false"/>
                <w:dstrike w:val="false"/>
                <w:color w:val="000000"/>
                <w:spacing w:val="0"/>
                <w:sz w:val="20"/>
                <w:szCs w:val="20"/>
                <w:u w:val="none"/>
                <w:lang w:val="pt-BR"/>
              </w:rPr>
              <w:t>VALOR TOTAL</w:t>
            </w:r>
          </w:p>
        </w:tc>
        <w:tc>
          <w:tcPr>
            <w:tcW w:w="2717" w:type="dxa"/>
            <w:gridSpan w:val="2"/>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 xml:space="preserve">R$ </w:t>
            </w:r>
            <w:r>
              <w:rPr>
                <w:rFonts w:eastAsia="Times New Roman" w:cs="Times New Roman"/>
                <w:b/>
                <w:bCs/>
                <w:i w:val="false"/>
                <w:iCs w:val="false"/>
                <w:caps w:val="false"/>
                <w:smallCaps w:val="false"/>
                <w:strike w:val="false"/>
                <w:dstrike w:val="false"/>
                <w:outline w:val="false"/>
                <w:shadow w:val="false"/>
                <w:color w:val="000000"/>
                <w:spacing w:val="-2"/>
                <w:sz w:val="21"/>
                <w:szCs w:val="21"/>
                <w:u w:val="none"/>
                <w:lang w:val="pt-BR"/>
              </w:rPr>
              <w:t>63.82</w:t>
            </w:r>
            <w:r>
              <w:rPr>
                <w:rFonts w:eastAsia="Times New Roman" w:cs="Times New Roman"/>
                <w:b/>
                <w:bCs/>
                <w:i w:val="false"/>
                <w:iCs w:val="false"/>
                <w:caps w:val="false"/>
                <w:smallCaps w:val="false"/>
                <w:strike w:val="false"/>
                <w:dstrike w:val="false"/>
                <w:outline w:val="false"/>
                <w:shadow w:val="false"/>
                <w:color w:val="000000"/>
                <w:spacing w:val="-2"/>
                <w:sz w:val="21"/>
                <w:szCs w:val="21"/>
                <w:u w:val="none"/>
                <w:lang w:val="pt-BR"/>
              </w:rPr>
              <w:t>1</w:t>
            </w:r>
            <w:r>
              <w:rPr>
                <w:rFonts w:eastAsia="Times New Roman" w:cs="Times New Roman"/>
                <w:b/>
                <w:bCs/>
                <w:i w:val="false"/>
                <w:iCs w:val="false"/>
                <w:caps w:val="false"/>
                <w:smallCaps w:val="false"/>
                <w:strike w:val="false"/>
                <w:dstrike w:val="false"/>
                <w:outline w:val="false"/>
                <w:shadow w:val="false"/>
                <w:color w:val="000000"/>
                <w:spacing w:val="-2"/>
                <w:sz w:val="21"/>
                <w:szCs w:val="21"/>
                <w:u w:val="none"/>
                <w:lang w:val="pt-BR"/>
              </w:rPr>
              <w:t>,40</w:t>
            </w:r>
          </w:p>
        </w:tc>
      </w:tr>
    </w:tbl>
    <w:p>
      <w:pPr>
        <w:pStyle w:val="Normal"/>
        <w:ind w:hanging="0" w:left="0"/>
        <w:rPr>
          <w:rFonts w:ascii="Arial" w:hAnsi="Arial"/>
        </w:rPr>
      </w:pPr>
      <w:r>
        <w:rPr>
          <w:rFonts w:ascii="Arial" w:hAnsi="Arial"/>
        </w:rPr>
      </w:r>
    </w:p>
    <w:p>
      <w:pPr>
        <w:pStyle w:val="Normal"/>
        <w:numPr>
          <w:ilvl w:val="0"/>
          <w:numId w:val="0"/>
        </w:numPr>
        <w:ind w:hanging="0" w:left="0" w:right="0"/>
        <w:jc w:val="both"/>
        <w:rPr>
          <w:color w:val="000000"/>
        </w:rPr>
      </w:pPr>
      <w:r>
        <w:rPr>
          <w:color w:val="000000"/>
        </w:rPr>
      </w:r>
    </w:p>
    <w:p>
      <w:pPr>
        <w:pStyle w:val="Normal"/>
        <w:widowControl/>
        <w:suppressAutoHyphens w:val="true"/>
        <w:bidi w:val="0"/>
        <w:spacing w:lineRule="auto" w:line="276" w:before="0" w:after="0"/>
        <w:ind w:hanging="0" w:left="0" w:right="0"/>
        <w:jc w:val="both"/>
        <w:rPr>
          <w:rFonts w:ascii="Arial" w:hAnsi="Arial"/>
        </w:rPr>
      </w:pPr>
      <w:r>
        <w:rPr>
          <w:rFonts w:ascii="Arial" w:hAnsi="Arial"/>
        </w:rPr>
      </w:r>
    </w:p>
    <w:p>
      <w:pPr>
        <w:pStyle w:val="Nivel2"/>
        <w:numPr>
          <w:ilvl w:val="1"/>
          <w:numId w:val="123"/>
        </w:numPr>
        <w:ind w:hanging="0" w:left="0"/>
        <w:rPr>
          <w:rFonts w:ascii="Arial" w:hAnsi="Arial"/>
        </w:rPr>
      </w:pPr>
      <w:r>
        <w:rPr/>
        <w:t>Os bens objeto desta contratação são caracterizados como comuns, conforme justificativa constante do Estudo Técnico Preliminar.</w:t>
      </w:r>
    </w:p>
    <w:p>
      <w:pPr>
        <w:pStyle w:val="Nivel2"/>
        <w:numPr>
          <w:ilvl w:val="1"/>
          <w:numId w:val="124"/>
        </w:numPr>
        <w:ind w:hanging="0" w:left="0"/>
        <w:rPr>
          <w:rFonts w:ascii="Arial" w:hAnsi="Arial"/>
        </w:rPr>
      </w:pPr>
      <w:r>
        <w:rPr/>
        <w:t>O objeto desta contratação não se enquadra como sendo de bem de luxo, conforme Decreto nº 10.818, de 27 de setembro de 2021.</w:t>
      </w:r>
    </w:p>
    <w:p>
      <w:pPr>
        <w:pStyle w:val="Nvel2-Red"/>
        <w:numPr>
          <w:ilvl w:val="1"/>
          <w:numId w:val="125"/>
        </w:numPr>
        <w:ind w:hanging="0" w:left="0"/>
        <w:rPr>
          <w:rFonts w:ascii="Arial" w:hAnsi="Arial"/>
        </w:rPr>
      </w:pPr>
      <w:r>
        <w:rPr>
          <w:color w:val="000000"/>
        </w:rPr>
        <w:t>O prazo de vigência da contratação é de 1 (um) contados da data de homologação, na forma do artigo 105 da Lei n° 14.133, de 2021.</w:t>
      </w:r>
    </w:p>
    <w:p>
      <w:pPr>
        <w:pStyle w:val="Nivel2"/>
        <w:numPr>
          <w:ilvl w:val="1"/>
          <w:numId w:val="126"/>
        </w:numPr>
        <w:ind w:hanging="0" w:left="0"/>
        <w:rPr>
          <w:rFonts w:ascii="Arial" w:hAnsi="Arial"/>
        </w:rPr>
      </w:pPr>
      <w:r>
        <w:rPr/>
        <w:t>O contrato oferece maior detalhamento das regras que serão aplicadas em relação à vigência da contratação.</w:t>
      </w:r>
    </w:p>
    <w:p>
      <w:pPr>
        <w:pStyle w:val="Nivel01"/>
        <w:numPr>
          <w:ilvl w:val="0"/>
          <w:numId w:val="4"/>
        </w:numPr>
        <w:ind w:hanging="0" w:left="0"/>
        <w:rPr>
          <w:rFonts w:ascii="Arial" w:hAnsi="Arial"/>
        </w:rPr>
      </w:pPr>
      <w:r>
        <w:rPr/>
        <w:t>FUNDAMENTAÇÃO E DESCRIÇÃO DA NECESSIDADE DA CONTRATAÇÃO</w:t>
      </w:r>
    </w:p>
    <w:p>
      <w:pPr>
        <w:pStyle w:val="Nivel2"/>
        <w:numPr>
          <w:ilvl w:val="1"/>
          <w:numId w:val="127"/>
        </w:numPr>
        <w:ind w:hanging="0" w:left="0"/>
        <w:rPr>
          <w:rFonts w:ascii="Arial" w:hAnsi="Arial"/>
        </w:rPr>
      </w:pPr>
      <w:r>
        <w:rPr/>
        <w:t>A Fundamentação da Contratação e de seus quantitativos encontra-se pormenorizada em Tópico específico dos Estudos Técnicos Preliminares, apêndice deste Termo de Referência.</w:t>
      </w:r>
    </w:p>
    <w:p>
      <w:pPr>
        <w:pStyle w:val="Nvel2-Red"/>
        <w:numPr>
          <w:ilvl w:val="1"/>
          <w:numId w:val="128"/>
        </w:numPr>
        <w:ind w:hanging="0" w:left="0"/>
        <w:rPr>
          <w:rFonts w:ascii="Arial" w:hAnsi="Arial"/>
        </w:rPr>
      </w:pPr>
      <w:r>
        <w:rPr>
          <w:color w:val="000000"/>
        </w:rPr>
        <w:t>O objeto da contratação está previsto no Plano de Contratações Anual 2025, conforme consta das informações básicas desse termo de referência.</w:t>
      </w:r>
    </w:p>
    <w:p>
      <w:pPr>
        <w:pStyle w:val="Nivel01"/>
        <w:numPr>
          <w:ilvl w:val="0"/>
          <w:numId w:val="4"/>
        </w:numPr>
        <w:ind w:hanging="0" w:left="0"/>
        <w:rPr>
          <w:rFonts w:ascii="Arial" w:hAnsi="Arial"/>
        </w:rPr>
      </w:pPr>
      <w:r>
        <w:rPr/>
        <w:t>DESCRIÇÃO DA SOLUÇÃO COMO UM TODO CONSIDERADO O CICLO DE VIDA DO OBJETO E ESPECIFICAÇÃO DO PRODUTO</w:t>
      </w:r>
    </w:p>
    <w:p>
      <w:pPr>
        <w:pStyle w:val="Nvel2-Red"/>
        <w:numPr>
          <w:ilvl w:val="1"/>
          <w:numId w:val="129"/>
        </w:numPr>
        <w:ind w:hanging="0" w:left="0"/>
        <w:rPr>
          <w:rFonts w:ascii="Arial" w:hAnsi="Arial"/>
        </w:rPr>
      </w:pPr>
      <w:r>
        <w:rPr>
          <w:color w:val="000000"/>
        </w:rPr>
        <w:t>A descrição da solução como um todo encontra-se pormenorizada em tópico específico dos Estudos Técnicos Preliminares, apêndice deste Termo de Referência.</w:t>
      </w:r>
    </w:p>
    <w:p>
      <w:pPr>
        <w:pStyle w:val="Nivel01"/>
        <w:numPr>
          <w:ilvl w:val="0"/>
          <w:numId w:val="4"/>
        </w:numPr>
        <w:ind w:hanging="0" w:left="0"/>
        <w:rPr>
          <w:rFonts w:ascii="Arial" w:hAnsi="Arial"/>
        </w:rPr>
      </w:pPr>
      <w:r>
        <w:rPr/>
        <w:t>REQUISITOS DA CONTRATAÇÃO</w:t>
      </w:r>
    </w:p>
    <w:p>
      <w:pPr>
        <w:pStyle w:val="Nvel1-SemNumPreto"/>
        <w:ind w:hanging="0" w:left="0"/>
        <w:rPr>
          <w:rFonts w:ascii="Arial" w:hAnsi="Arial"/>
        </w:rPr>
      </w:pPr>
      <w:r>
        <w:rPr/>
        <w:t>Sustentabilidade:</w:t>
      </w:r>
    </w:p>
    <w:p>
      <w:pPr>
        <w:pStyle w:val="Nivel2"/>
        <w:numPr>
          <w:ilvl w:val="1"/>
          <w:numId w:val="130"/>
        </w:numPr>
        <w:ind w:hanging="0" w:left="0"/>
        <w:rPr>
          <w:rFonts w:ascii="Arial" w:hAnsi="Arial"/>
        </w:rPr>
      </w:pPr>
      <w:r>
        <w:rPr/>
        <w:t xml:space="preserve">Além dos critérios de sustentabilidade eventualmente inseridos na descrição do objeto, devem ser atendidos os seguintes requisitos, que se baseiam no Guia Nacional de Contratações Sustentáveis e </w:t>
      </w:r>
      <w:r>
        <w:rPr>
          <w:color w:val="000000"/>
          <w:sz w:val="20"/>
        </w:rPr>
        <w:t>de justificativas técnicas relevantes.</w:t>
      </w:r>
    </w:p>
    <w:p>
      <w:pPr>
        <w:pStyle w:val="Nvel1-SemNumPreto"/>
        <w:ind w:hanging="0" w:left="0"/>
        <w:rPr>
          <w:rFonts w:ascii="Arial" w:hAnsi="Arial"/>
        </w:rPr>
      </w:pPr>
      <w:r>
        <w:rPr/>
        <w:t>Subcontratação</w:t>
      </w:r>
    </w:p>
    <w:p>
      <w:pPr>
        <w:pStyle w:val="Nivel2"/>
        <w:numPr>
          <w:ilvl w:val="1"/>
          <w:numId w:val="131"/>
        </w:numPr>
        <w:ind w:hanging="0" w:left="0"/>
        <w:rPr>
          <w:rFonts w:ascii="Arial" w:hAnsi="Arial"/>
        </w:rPr>
      </w:pPr>
      <w:r>
        <w:rPr/>
        <w:t>Não é admitida a subcontratação do objeto contratual.</w:t>
      </w:r>
    </w:p>
    <w:p>
      <w:pPr>
        <w:pStyle w:val="Nvel2-Red"/>
        <w:numPr>
          <w:ilvl w:val="1"/>
          <w:numId w:val="132"/>
        </w:numPr>
        <w:ind w:hanging="0" w:left="0"/>
        <w:rPr/>
      </w:pPr>
      <w:r>
        <w:rPr>
          <w:color w:val="000000"/>
        </w:rPr>
        <w:t xml:space="preserve">Não haverá exigência da garantia da contratação dos </w:t>
      </w:r>
      <w:r>
        <w:fldChar w:fldCharType="begin"/>
      </w:r>
      <w:r>
        <w:rPr>
          <w:rStyle w:val="Hyperlink"/>
          <w:color w:themeColor="hyperlink" w:val="000000"/>
        </w:rPr>
        <w:instrText xml:space="preserve"> HYPERLINK "http://www.planalto.gov.br/ccivil_03/_ato2019-2022/2021/lei/L14133.htm" \l "art96"</w:instrText>
      </w:r>
      <w:r>
        <w:rPr>
          <w:rStyle w:val="Hyperlink"/>
          <w:color w:themeColor="hyperlink" w:val="000000"/>
        </w:rPr>
        <w:fldChar w:fldCharType="separate"/>
      </w:r>
      <w:r>
        <w:rPr>
          <w:rStyle w:val="Hyperlink"/>
          <w:color w:themeColor="hyperlink" w:val="000000"/>
        </w:rPr>
        <w:t>artigos 96 e seguintes da Lei nº 14.133, de 2021</w:t>
      </w:r>
      <w:r>
        <w:rPr>
          <w:rStyle w:val="Hyperlink"/>
          <w:color w:themeColor="hyperlink" w:val="000000"/>
        </w:rPr>
        <w:fldChar w:fldCharType="end"/>
      </w:r>
      <w:r>
        <w:rPr>
          <w:color w:val="000000"/>
        </w:rPr>
        <w:t>, pelas razões constantes do Estudo Técnico Preliminar.</w:t>
      </w:r>
    </w:p>
    <w:p>
      <w:pPr>
        <w:pStyle w:val="Nivel2"/>
        <w:numPr>
          <w:ilvl w:val="1"/>
          <w:numId w:val="133"/>
        </w:numPr>
        <w:ind w:hanging="0" w:left="0"/>
        <w:rPr>
          <w:rFonts w:ascii="Arial" w:hAnsi="Arial"/>
        </w:rPr>
      </w:pPr>
      <w:r>
        <w:rPr/>
        <w:t>O contrato oferece maior detalhamento das regras que serão aplicadas em relação à garantia da contratação.</w:t>
      </w:r>
    </w:p>
    <w:p>
      <w:pPr>
        <w:pStyle w:val="Nivel01"/>
        <w:numPr>
          <w:ilvl w:val="0"/>
          <w:numId w:val="4"/>
        </w:numPr>
        <w:ind w:hanging="0" w:left="0"/>
        <w:rPr>
          <w:rFonts w:ascii="Arial" w:hAnsi="Arial"/>
        </w:rPr>
      </w:pPr>
      <w:r>
        <w:rPr/>
        <w:t>MODELO DE EXECUÇÃO DO OBJETO</w:t>
      </w:r>
    </w:p>
    <w:p>
      <w:pPr>
        <w:pStyle w:val="Nvel1-SemNum"/>
        <w:ind w:hanging="0" w:left="0"/>
        <w:rPr>
          <w:rFonts w:ascii="Arial" w:hAnsi="Arial"/>
        </w:rPr>
      </w:pPr>
      <w:r>
        <w:rPr>
          <w:color w:val="000000"/>
        </w:rPr>
        <w:t>Condições de Entrega</w:t>
      </w:r>
    </w:p>
    <w:p>
      <w:pPr>
        <w:pStyle w:val="Nvel2-Red"/>
        <w:numPr>
          <w:ilvl w:val="1"/>
          <w:numId w:val="134"/>
        </w:numPr>
        <w:ind w:hanging="0" w:left="0"/>
        <w:rPr>
          <w:rFonts w:ascii="Arial" w:hAnsi="Arial"/>
        </w:rPr>
      </w:pPr>
      <w:r>
        <w:rPr>
          <w:color w:val="000000"/>
        </w:rPr>
        <w:t xml:space="preserve">O prazo de entrega dos bens é de 30 dias, contados do recebimento do empenho </w:t>
      </w:r>
      <w:r>
        <w:rPr>
          <w:color w:val="000000"/>
          <w:sz w:val="20"/>
        </w:rPr>
        <w:t>por parte do contratado</w:t>
      </w:r>
      <w:r>
        <w:rPr>
          <w:color w:val="000000"/>
        </w:rPr>
        <w:t xml:space="preserve">, em remessa única. </w:t>
      </w:r>
    </w:p>
    <w:p>
      <w:pPr>
        <w:pStyle w:val="BodyText"/>
        <w:numPr>
          <w:ilvl w:val="1"/>
          <w:numId w:val="135"/>
        </w:numPr>
        <w:spacing w:before="280" w:after="280"/>
        <w:ind w:hanging="0" w:left="0"/>
        <w:rPr>
          <w:rFonts w:ascii="Arial" w:hAnsi="Arial"/>
        </w:rPr>
      </w:pPr>
      <w:r>
        <w:rPr>
          <w:rFonts w:ascii="Arial" w:hAnsi="Arial"/>
          <w:color w:val="000000"/>
          <w:sz w:val="20"/>
        </w:rPr>
        <w:t>Caso não seja possível a entrega na data assinalada, a empresa deverá comunicar as razões respectivas com pelo menos 5 (cinco) dias de antecedência para que qualquer pleito de prorrogação de prazo seja analisado, ressalvadas situações de caso fortuito e força maior.</w:t>
      </w:r>
    </w:p>
    <w:p>
      <w:pPr>
        <w:pStyle w:val="Nivel2"/>
        <w:numPr>
          <w:ilvl w:val="1"/>
          <w:numId w:val="136"/>
        </w:numPr>
        <w:ind w:hanging="0" w:left="0"/>
        <w:rPr>
          <w:rFonts w:ascii="Arial" w:hAnsi="Arial"/>
        </w:rPr>
      </w:pPr>
      <w:r>
        <w:rPr>
          <w:sz w:val="20"/>
          <w:szCs w:val="20"/>
        </w:rPr>
        <w:t xml:space="preserve">Os bens deverão ser entregues no seguinte endereço, </w:t>
      </w:r>
      <w:r>
        <w:rPr>
          <w:rFonts w:cs="Arial"/>
          <w:color w:val="000000"/>
          <w:sz w:val="20"/>
          <w:szCs w:val="20"/>
          <w:lang w:eastAsia="en-US"/>
        </w:rPr>
        <w:t>Almoxarifado do Depósito Central de Munição: Rodovia RJ-127, km 06, s/n, Bairro Cabral, Paracambi - RJ, 26600-000, no horário das 09:40h às 11:30h e das 13:00h às 16:00h de segunda a quinta-feira, e às sextas-feiras das 08:00h</w:t>
      </w:r>
      <w:r>
        <w:rPr>
          <w:rFonts w:cs="Arial"/>
          <w:color w:val="000000"/>
          <w:spacing w:val="-5"/>
          <w:sz w:val="20"/>
          <w:szCs w:val="20"/>
          <w:lang w:eastAsia="en-US"/>
        </w:rPr>
        <w:t xml:space="preserve"> </w:t>
      </w:r>
      <w:r>
        <w:rPr>
          <w:rFonts w:cs="Arial"/>
          <w:color w:val="000000"/>
          <w:sz w:val="20"/>
          <w:szCs w:val="20"/>
          <w:lang w:eastAsia="en-US"/>
        </w:rPr>
        <w:t>às</w:t>
      </w:r>
      <w:r>
        <w:rPr>
          <w:rFonts w:cs="Arial"/>
          <w:color w:val="000000"/>
          <w:spacing w:val="-7"/>
          <w:sz w:val="20"/>
          <w:szCs w:val="20"/>
          <w:lang w:eastAsia="en-US"/>
        </w:rPr>
        <w:t xml:space="preserve"> </w:t>
      </w:r>
      <w:r>
        <w:rPr>
          <w:rFonts w:cs="Arial"/>
          <w:color w:val="000000"/>
          <w:sz w:val="20"/>
          <w:szCs w:val="20"/>
          <w:lang w:eastAsia="en-US"/>
        </w:rPr>
        <w:t>11:30h</w:t>
      </w:r>
      <w:r>
        <w:rPr>
          <w:rFonts w:cs="Arial"/>
          <w:color w:val="000000"/>
          <w:sz w:val="24"/>
          <w:szCs w:val="24"/>
          <w:lang w:eastAsia="en-US"/>
        </w:rPr>
        <w:t>.</w:t>
      </w:r>
    </w:p>
    <w:p>
      <w:pPr>
        <w:pStyle w:val="Nvel1-SemNumPreto"/>
        <w:ind w:hanging="0" w:left="0"/>
        <w:rPr>
          <w:rFonts w:ascii="Arial" w:hAnsi="Arial"/>
        </w:rPr>
      </w:pPr>
      <w:r>
        <w:rPr/>
        <w:t>Garantia, manutenção e assistência técnica</w:t>
      </w:r>
    </w:p>
    <w:p>
      <w:pPr>
        <w:pStyle w:val="Nvel2-Red"/>
        <w:numPr>
          <w:ilvl w:val="1"/>
          <w:numId w:val="137"/>
        </w:numPr>
        <w:ind w:hanging="0" w:left="0"/>
        <w:rPr>
          <w:rFonts w:ascii="Arial" w:hAnsi="Arial"/>
        </w:rPr>
      </w:pPr>
      <w:r>
        <w:rPr>
          <w:color w:val="000000"/>
        </w:rPr>
        <w:t>O prazo de garantia é aquele estabelecido na Lei nº 8.078, de 11 de setembro de 1990 (Código de Defesa do Consumidor)</w:t>
      </w:r>
    </w:p>
    <w:p>
      <w:pPr>
        <w:pStyle w:val="Nivel01"/>
        <w:numPr>
          <w:ilvl w:val="0"/>
          <w:numId w:val="4"/>
        </w:numPr>
        <w:ind w:hanging="0" w:left="0"/>
        <w:rPr>
          <w:rFonts w:ascii="Arial" w:hAnsi="Arial"/>
        </w:rPr>
      </w:pPr>
      <w:r>
        <w:rPr/>
        <w:t>MODELO DE GESTÃO DO CONTRATO</w:t>
      </w:r>
    </w:p>
    <w:p>
      <w:pPr>
        <w:pStyle w:val="Nivel2"/>
        <w:numPr>
          <w:ilvl w:val="1"/>
          <w:numId w:val="138"/>
        </w:numPr>
        <w:ind w:hanging="0" w:left="0"/>
        <w:rPr>
          <w:rFonts w:ascii="Arial" w:hAnsi="Arial"/>
        </w:rPr>
      </w:pPr>
      <w:r>
        <w:rPr/>
        <w:t>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139"/>
        </w:numPr>
        <w:ind w:hanging="0" w:left="0"/>
        <w:rPr>
          <w:rFonts w:ascii="Arial" w:hAnsi="Arial"/>
        </w:rPr>
      </w:pPr>
      <w:r>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140"/>
        </w:numPr>
        <w:ind w:hanging="0" w:left="0"/>
        <w:rPr>
          <w:rFonts w:ascii="Arial" w:hAnsi="Arial"/>
        </w:rPr>
      </w:pPr>
      <w:r>
        <w:rPr/>
        <w:t>As comunicações entre o órgão ou entidade e a contratada devem ser realizadas por escrito sempre que o ato exigir tal formalidade, admitindo-se o uso de mensagem eletrônica para esse fim.</w:t>
      </w:r>
    </w:p>
    <w:p>
      <w:pPr>
        <w:pStyle w:val="Nivel2"/>
        <w:numPr>
          <w:ilvl w:val="1"/>
          <w:numId w:val="141"/>
        </w:numPr>
        <w:ind w:hanging="0" w:left="0"/>
        <w:rPr>
          <w:rFonts w:ascii="Arial" w:hAnsi="Arial"/>
        </w:rPr>
      </w:pPr>
      <w:r>
        <w:rPr/>
        <w:t>O órgão ou entidade poderá convocar representante da empresa para adoção de providências que devam ser cumpridas de imediato.</w:t>
      </w:r>
    </w:p>
    <w:p>
      <w:pPr>
        <w:pStyle w:val="Nivel2"/>
        <w:numPr>
          <w:ilvl w:val="1"/>
          <w:numId w:val="142"/>
        </w:numPr>
        <w:ind w:hanging="0" w:left="0"/>
        <w:rPr>
          <w:rFonts w:ascii="Arial" w:hAnsi="Arial"/>
        </w:rPr>
      </w:pPr>
      <w:r>
        <w:rPr/>
        <w:t xml:space="preserve"> </w:t>
      </w:r>
      <w:r>
        <w:rPr/>
        <w:t>Após a assinatura do contrato ou instrumento equivalente</w:t>
      </w:r>
      <w:r>
        <w:rPr>
          <w:strike/>
        </w:rPr>
        <w:t>,</w:t>
      </w:r>
      <w: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ivel2"/>
        <w:numPr>
          <w:ilvl w:val="0"/>
          <w:numId w:val="0"/>
        </w:numPr>
        <w:ind w:hanging="0" w:left="0"/>
        <w:rPr>
          <w:rFonts w:ascii="Arial" w:hAnsi="Arial"/>
        </w:rPr>
      </w:pPr>
      <w:r>
        <w:rPr/>
        <w:t>Fiscalização</w:t>
      </w:r>
    </w:p>
    <w:p>
      <w:pPr>
        <w:pStyle w:val="Nivel2"/>
        <w:numPr>
          <w:ilvl w:val="1"/>
          <w:numId w:val="143"/>
        </w:numPr>
        <w:ind w:hanging="0" w:left="0"/>
        <w:rPr/>
      </w:pPr>
      <w:r>
        <w:rPr/>
        <w:t>A execução do contrato deverá ser acompanhada e fiscalizada pelo(s) fiscal(is) do contrato, ou pelos respectivos substitutos (</w:t>
      </w:r>
      <w:r>
        <w:fldChar w:fldCharType="begin"/>
      </w:r>
      <w:r>
        <w:rPr>
          <w:rStyle w:val="Hyperlink"/>
        </w:rPr>
        <w:instrText xml:space="preserve"> HYPERLINK "http://www.planalto.gov.br/ccivil_03/_ato2019-2022/2021/lei/L14133.htm" \l "art117"</w:instrText>
      </w:r>
      <w:r>
        <w:rPr>
          <w:rStyle w:val="Hyperlink"/>
        </w:rPr>
        <w:fldChar w:fldCharType="separate"/>
      </w:r>
      <w:r>
        <w:rPr>
          <w:rStyle w:val="Hyperlink"/>
        </w:rPr>
        <w:t>Lei nº 14.133, de 2021, art. 117, caput</w:t>
      </w:r>
      <w:r>
        <w:rPr>
          <w:rStyle w:val="Hyperlink"/>
        </w:rPr>
        <w:fldChar w:fldCharType="end"/>
      </w:r>
      <w:r>
        <w:rPr/>
        <w:t>).</w:t>
      </w:r>
    </w:p>
    <w:p>
      <w:pPr>
        <w:pStyle w:val="Nvel1-SemNumPreto"/>
        <w:ind w:hanging="0" w:left="0"/>
        <w:rPr>
          <w:rFonts w:ascii="Arial" w:hAnsi="Arial"/>
        </w:rPr>
      </w:pPr>
      <w:r>
        <w:rPr/>
        <w:t>Fiscalização Técnica</w:t>
      </w:r>
    </w:p>
    <w:p>
      <w:pPr>
        <w:pStyle w:val="Nivel2"/>
        <w:numPr>
          <w:ilvl w:val="1"/>
          <w:numId w:val="144"/>
        </w:numPr>
        <w:ind w:hanging="0" w:left="0"/>
        <w:rPr>
          <w:rFonts w:ascii="Arial" w:hAnsi="Arial"/>
        </w:rPr>
      </w:pPr>
      <w:r>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3"/>
        <w:numPr>
          <w:ilvl w:val="2"/>
          <w:numId w:val="145"/>
        </w:numPr>
        <w:ind w:hanging="0" w:left="284"/>
        <w:rPr/>
      </w:pPr>
      <w:r>
        <w:rPr/>
        <w:t>O fiscal técnico do contrato anotará no histórico de gerenciamento do contrato todas as ocorrências relacionadas à execução do contrato, com a descrição do que for necessário para a regularização das faltas ou dos defeitos observados. (</w:t>
      </w:r>
      <w:r>
        <w:fldChar w:fldCharType="begin"/>
      </w:r>
      <w:r>
        <w:rPr>
          <w:rStyle w:val="Hyperlink"/>
        </w:rPr>
        <w:instrText xml:space="preserve"> HYPERLINK "http://www.planalto.gov.br/ccivil_03/_ato2019-2022/2021/lei/L14133.htm" \l "art117%C2%A71"</w:instrText>
      </w:r>
      <w:r>
        <w:rPr>
          <w:rStyle w:val="Hyperlink"/>
        </w:rPr>
        <w:fldChar w:fldCharType="separate"/>
      </w:r>
      <w:r>
        <w:rPr>
          <w:rStyle w:val="Hyperlink"/>
        </w:rPr>
        <w:t>Lei nº 14.133, de 2021, art. 117, §1º</w:t>
      </w:r>
      <w:r>
        <w:rPr>
          <w:rStyle w:val="Hyperlink"/>
        </w:rPr>
        <w:fldChar w:fldCharType="end"/>
      </w:r>
      <w:r>
        <w:rPr/>
        <w:t xml:space="preserve">, e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II);</w:t>
      </w:r>
      <w:r>
        <w:rPr>
          <w:rStyle w:val="Hyperlink"/>
        </w:rPr>
        <w:fldChar w:fldCharType="end"/>
      </w:r>
    </w:p>
    <w:p>
      <w:pPr>
        <w:pStyle w:val="Nivel3"/>
        <w:numPr>
          <w:ilvl w:val="2"/>
          <w:numId w:val="146"/>
        </w:numPr>
        <w:ind w:hanging="0" w:left="284"/>
        <w:rPr/>
      </w:pPr>
      <w:r>
        <w:rPr/>
        <w:t>Identificada qualquer inexatidão ou irregularidade, o fiscal técnico do contrato emitirá notificações para a correção da execução do contrato, determinando prazo para a correção.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III</w:t>
      </w:r>
      <w:r>
        <w:rPr>
          <w:rStyle w:val="Hyperlink"/>
        </w:rPr>
        <w:fldChar w:fldCharType="end"/>
      </w:r>
      <w:r>
        <w:rPr/>
        <w:t xml:space="preserve">); </w:t>
      </w:r>
    </w:p>
    <w:p>
      <w:pPr>
        <w:pStyle w:val="Nivel3"/>
        <w:numPr>
          <w:ilvl w:val="2"/>
          <w:numId w:val="147"/>
        </w:numPr>
        <w:ind w:hanging="0" w:left="284"/>
        <w:rPr/>
      </w:pPr>
      <w:r>
        <w:rPr/>
        <w:t>O fiscal técnico do contrato informará ao gestor do contato, em tempo hábil, a situação que demandar decisão ou adoção de medidas que ultrapassem sua competência, para que adote as medidas necessárias e saneadoras, se for o caso.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IV</w:t>
      </w:r>
      <w:r>
        <w:rPr>
          <w:rStyle w:val="Hyperlink"/>
        </w:rPr>
        <w:fldChar w:fldCharType="end"/>
      </w:r>
      <w:r>
        <w:rPr/>
        <w:t>).</w:t>
      </w:r>
    </w:p>
    <w:p>
      <w:pPr>
        <w:pStyle w:val="Nivel3"/>
        <w:numPr>
          <w:ilvl w:val="2"/>
          <w:numId w:val="148"/>
        </w:numPr>
        <w:ind w:hanging="0" w:left="284"/>
        <w:rPr/>
      </w:pPr>
      <w:r>
        <w:rPr/>
        <w:t>No caso de ocorrências que possam inviabilizar a execução do contrato nas datas aprazadas, o fiscal técnico do contrato comunicará o fato imediatamente ao gestor do contrato.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V</w:t>
      </w:r>
      <w:r>
        <w:rPr>
          <w:rStyle w:val="Hyperlink"/>
        </w:rPr>
        <w:fldChar w:fldCharType="end"/>
      </w:r>
      <w:r>
        <w:rPr/>
        <w:t>).</w:t>
      </w:r>
    </w:p>
    <w:p>
      <w:pPr>
        <w:pStyle w:val="Nivel3"/>
        <w:numPr>
          <w:ilvl w:val="2"/>
          <w:numId w:val="149"/>
        </w:numPr>
        <w:ind w:hanging="0" w:left="284"/>
        <w:rPr/>
      </w:pPr>
      <w:r>
        <w:rPr/>
        <w:t xml:space="preserve">O fiscal técnico do contrato comunicará ao gestor do contrato, em tempo hábil, o término do contrato sob sua responsabilidade, com vistas à renovação tempestiva ou à prorrogação contratual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VII</w:t>
      </w:r>
      <w:r>
        <w:rPr>
          <w:rStyle w:val="Hyperlink"/>
        </w:rPr>
        <w:fldChar w:fldCharType="end"/>
      </w:r>
      <w:r>
        <w:rPr/>
        <w:t>).</w:t>
      </w:r>
    </w:p>
    <w:p>
      <w:pPr>
        <w:pStyle w:val="Nivel3"/>
        <w:numPr>
          <w:ilvl w:val="0"/>
          <w:numId w:val="0"/>
        </w:numPr>
        <w:ind w:hanging="0" w:left="0"/>
        <w:rPr>
          <w:rFonts w:ascii="Arial" w:hAnsi="Arial"/>
        </w:rPr>
      </w:pPr>
      <w:r>
        <w:rPr/>
        <w:t>Fiscalização Administrativa</w:t>
      </w:r>
    </w:p>
    <w:p>
      <w:pPr>
        <w:pStyle w:val="Nivel2"/>
        <w:numPr>
          <w:ilvl w:val="1"/>
          <w:numId w:val="150"/>
        </w:numPr>
        <w:ind w:hanging="0" w:left="0"/>
        <w:rPr/>
      </w:pPr>
      <w: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rPr>
          <w:rStyle w:val="Hyperlink"/>
        </w:rPr>
        <w:instrText xml:space="preserve"> HYPERLINK "https://www.planalto.gov.br/ccivil_03/_ato2019-2022/2022/Decreto/D11246.htm" \l "art23"</w:instrText>
      </w:r>
      <w:r>
        <w:rPr>
          <w:rStyle w:val="Hyperlink"/>
        </w:rPr>
        <w:fldChar w:fldCharType="separate"/>
      </w:r>
      <w:r>
        <w:rPr>
          <w:rStyle w:val="Hyperlink"/>
        </w:rPr>
        <w:t>Art. 23, I e II, do Decreto nº 11.246, de 2022</w:t>
      </w:r>
      <w:r>
        <w:rPr>
          <w:rStyle w:val="Hyperlink"/>
        </w:rPr>
        <w:fldChar w:fldCharType="end"/>
      </w:r>
      <w:r>
        <w:rPr/>
        <w:t>).</w:t>
      </w:r>
    </w:p>
    <w:p>
      <w:pPr>
        <w:pStyle w:val="Nivel3"/>
        <w:numPr>
          <w:ilvl w:val="2"/>
          <w:numId w:val="151"/>
        </w:numPr>
        <w:ind w:hanging="0" w:left="284"/>
        <w:rPr/>
      </w:pPr>
      <w:r>
        <w:rPr/>
        <w:t>Caso ocorra descumprimento das obrigações contratuais, o fiscal administrativo do contrato atuará tempestivamente na solução do problema, reportando ao gestor do contrato para que tome as providências cabíveis, quando ultrapassar a sua competência; (</w:t>
      </w:r>
      <w:r>
        <w:fldChar w:fldCharType="begin"/>
      </w:r>
      <w:r>
        <w:rPr>
          <w:rStyle w:val="Hyperlink"/>
        </w:rPr>
        <w:instrText xml:space="preserve"> HYPERLINK "https://www.planalto.gov.br/ccivil_03/_ato2019-2022/2022/Decreto/D11246.htm" \l "art23"</w:instrText>
      </w:r>
      <w:r>
        <w:rPr>
          <w:rStyle w:val="Hyperlink"/>
        </w:rPr>
        <w:fldChar w:fldCharType="separate"/>
      </w:r>
      <w:r>
        <w:rPr>
          <w:rStyle w:val="Hyperlink"/>
        </w:rPr>
        <w:t>Decreto nº 11.246, de 2022, art. 23, IV</w:t>
      </w:r>
      <w:r>
        <w:rPr>
          <w:rStyle w:val="Hyperlink"/>
        </w:rPr>
        <w:fldChar w:fldCharType="end"/>
      </w:r>
      <w:r>
        <w:rPr/>
        <w:t>).</w:t>
      </w:r>
    </w:p>
    <w:p>
      <w:pPr>
        <w:pStyle w:val="Nvel1-SemNumPreto"/>
        <w:ind w:hanging="0" w:left="0"/>
        <w:rPr>
          <w:rFonts w:ascii="Arial" w:hAnsi="Arial"/>
        </w:rPr>
      </w:pPr>
      <w:r>
        <w:rPr/>
        <w:t>Gestor do Contrato</w:t>
      </w:r>
    </w:p>
    <w:p>
      <w:pPr>
        <w:pStyle w:val="Nivel2"/>
        <w:numPr>
          <w:ilvl w:val="1"/>
          <w:numId w:val="152"/>
        </w:numPr>
        <w:ind w:hanging="0" w:left="0"/>
        <w:rPr>
          <w:rFonts w:ascii="Arial" w:hAnsi="Arial"/>
        </w:rPr>
      </w:pPr>
      <w: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153"/>
        </w:numPr>
        <w:ind w:hanging="0" w:left="0"/>
        <w:rPr>
          <w:rFonts w:ascii="Arial" w:hAnsi="Arial"/>
        </w:rPr>
      </w:pPr>
      <w:r>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154"/>
        </w:numPr>
        <w:ind w:hanging="0" w:left="0"/>
        <w:rPr>
          <w:rFonts w:ascii="Arial" w:hAnsi="Arial"/>
        </w:rPr>
      </w:pPr>
      <w:r>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155"/>
        </w:numPr>
        <w:ind w:hanging="0" w:left="0"/>
        <w:rPr>
          <w:rFonts w:ascii="Arial" w:hAnsi="Arial"/>
        </w:rPr>
      </w:pPr>
      <w:r>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156"/>
        </w:numPr>
        <w:ind w:hanging="0" w:left="0"/>
        <w:rPr>
          <w:rFonts w:ascii="Arial" w:hAnsi="Arial"/>
        </w:rPr>
      </w:pPr>
      <w:r>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157"/>
        </w:numPr>
        <w:ind w:hanging="0" w:left="0"/>
        <w:rPr>
          <w:rFonts w:ascii="Arial" w:hAnsi="Arial"/>
        </w:rPr>
      </w:pPr>
      <w:r>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158"/>
        </w:numPr>
        <w:ind w:hanging="0" w:left="0"/>
        <w:rPr>
          <w:rFonts w:ascii="Arial" w:hAnsi="Arial"/>
        </w:rPr>
      </w:pPr>
      <w:r>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4"/>
        </w:numPr>
        <w:ind w:hanging="0" w:left="0"/>
        <w:rPr>
          <w:rFonts w:ascii="Arial" w:hAnsi="Arial"/>
        </w:rPr>
      </w:pPr>
      <w:r>
        <w:rPr/>
        <w:t>CRITÉRIOS DE MEDIÇÃO E DE PAGAMENTO</w:t>
      </w:r>
    </w:p>
    <w:p>
      <w:pPr>
        <w:pStyle w:val="Nvel1-SemNumPreto"/>
        <w:ind w:hanging="0" w:left="0"/>
        <w:rPr>
          <w:rFonts w:ascii="Arial" w:hAnsi="Arial"/>
        </w:rPr>
      </w:pPr>
      <w:r>
        <w:rPr/>
        <w:t>Recebimento</w:t>
      </w:r>
    </w:p>
    <w:p>
      <w:pPr>
        <w:pStyle w:val="Nivel2"/>
        <w:numPr>
          <w:ilvl w:val="1"/>
          <w:numId w:val="159"/>
        </w:numPr>
        <w:ind w:hanging="0" w:left="0"/>
        <w:rPr>
          <w:rFonts w:ascii="Arial" w:hAnsi="Arial"/>
        </w:rPr>
      </w:pPr>
      <w:r>
        <w:rPr>
          <w:lang w:eastAsia="en-US"/>
        </w:rPr>
        <w:t xml:space="preserve">Os bens serão recebidos provisoriamente, de forma sumária, no ato da entrega, juntamente com a </w:t>
      </w:r>
      <w:r>
        <w:rPr>
          <w:rFonts w:eastAsia="Calibri"/>
          <w:lang w:eastAsia="en-US"/>
        </w:rPr>
        <w:t>nota</w:t>
      </w:r>
      <w:r>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color w:val="FF0000"/>
          <w:lang w:eastAsia="en-US"/>
        </w:rPr>
        <w:t xml:space="preserve"> </w:t>
      </w:r>
      <w:r>
        <w:rPr>
          <w:lang w:eastAsia="en-US"/>
        </w:rPr>
        <w:t>e na proposta.</w:t>
      </w:r>
    </w:p>
    <w:p>
      <w:pPr>
        <w:pStyle w:val="Nivel2"/>
        <w:widowControl/>
        <w:numPr>
          <w:ilvl w:val="1"/>
          <w:numId w:val="160"/>
        </w:numPr>
        <w:bidi w:val="0"/>
        <w:spacing w:lineRule="auto" w:line="276" w:before="120" w:after="120"/>
        <w:ind w:hanging="0" w:left="0"/>
        <w:jc w:val="both"/>
        <w:rPr>
          <w:rFonts w:ascii="Arial" w:hAnsi="Arial"/>
        </w:rPr>
      </w:pPr>
      <w:r>
        <w:rPr>
          <w:rFonts w:eastAsia="Arial" w:cs="Arial"/>
          <w:sz w:val="20"/>
          <w:szCs w:val="20"/>
          <w:lang w:eastAsia="en-US"/>
        </w:rPr>
        <w:t>Os bens poderão ser rejeitados, no todo ou em parte, inclusive antes do recebimento provisório, quando em desacordo com as especificações constantes no Termo de Referência e na proposta, devendo ser substituídos no prazo de 10 (dez) dias, a contar da notificação da contratada, às suas custas, sem prejuízo da aplicação das penalidades.</w:t>
      </w:r>
    </w:p>
    <w:p>
      <w:pPr>
        <w:pStyle w:val="Nivel2"/>
        <w:widowControl/>
        <w:numPr>
          <w:ilvl w:val="1"/>
          <w:numId w:val="161"/>
        </w:numPr>
        <w:bidi w:val="0"/>
        <w:spacing w:lineRule="auto" w:line="276" w:before="120" w:after="120"/>
        <w:ind w:hanging="0" w:left="0"/>
        <w:jc w:val="both"/>
        <w:rPr>
          <w:rFonts w:ascii="Arial" w:hAnsi="Arial"/>
        </w:rPr>
      </w:pPr>
      <w:r>
        <w:rPr>
          <w:rFonts w:eastAsia="Arial" w:cs="Arial"/>
          <w:sz w:val="20"/>
          <w:szCs w:val="20"/>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pPr>
        <w:pStyle w:val="Nivel2"/>
        <w:widowControl/>
        <w:numPr>
          <w:ilvl w:val="1"/>
          <w:numId w:val="162"/>
        </w:numPr>
        <w:bidi w:val="0"/>
        <w:spacing w:lineRule="auto" w:line="276" w:before="120" w:after="120"/>
        <w:ind w:hanging="0" w:left="0"/>
        <w:jc w:val="both"/>
        <w:rPr>
          <w:rFonts w:ascii="Arial" w:hAnsi="Arial"/>
        </w:rPr>
      </w:pPr>
      <w:r>
        <w:rPr>
          <w:rFonts w:eastAsia="Arial" w:cs="Arial"/>
          <w:sz w:val="20"/>
          <w:szCs w:val="20"/>
          <w:lang w:eastAsia="en-US"/>
        </w:rPr>
        <w:t>Para as contratações decorrentes de despesas cujos valores não ultrapassem o limite de que trata o inciso II do art. 75 da Lei nº 14.133, de 2021, o prazo máximo para o recebimento definitivo será de até 05 (cinco) dias úteis.</w:t>
      </w:r>
    </w:p>
    <w:p>
      <w:pPr>
        <w:pStyle w:val="Nivel2"/>
        <w:numPr>
          <w:ilvl w:val="1"/>
          <w:numId w:val="163"/>
        </w:numPr>
        <w:ind w:hanging="0" w:left="0"/>
        <w:rPr>
          <w:rFonts w:ascii="Arial" w:hAnsi="Arial"/>
        </w:rPr>
      </w:pPr>
      <w:r>
        <w:rPr>
          <w:lang w:eastAsia="en-US"/>
        </w:rPr>
        <w:t xml:space="preserve">O prazo para recebimento definitivo poderá ser excepcionalmente prorrogado, </w:t>
      </w:r>
      <w:r>
        <w:rPr>
          <w:color w:val="auto"/>
          <w:lang w:eastAsia="en-US"/>
        </w:rPr>
        <w:t>de forma justificada, por igual período, quando houver necessidade de diligências para a aferição do ate</w:t>
      </w:r>
      <w:r>
        <w:rPr>
          <w:lang w:eastAsia="en-US"/>
        </w:rPr>
        <w:t>ndimento das exigências contratuais.</w:t>
      </w:r>
    </w:p>
    <w:p>
      <w:pPr>
        <w:pStyle w:val="Nivel2"/>
        <w:numPr>
          <w:ilvl w:val="1"/>
          <w:numId w:val="164"/>
        </w:numPr>
        <w:ind w:hanging="0" w:left="0"/>
        <w:rPr/>
      </w:pPr>
      <w:r>
        <w:rPr>
          <w:lang w:eastAsia="en-US"/>
        </w:rPr>
        <w:t xml:space="preserve">No caso de controvérsia sobre a execução do objeto, quanto à dimensão, qualidade e quantidade, deverá ser observado o teor do </w:t>
      </w:r>
      <w:r>
        <w:fldChar w:fldCharType="begin"/>
      </w:r>
      <w:r>
        <w:rPr>
          <w:rStyle w:val="Hyperlink"/>
          <w:lang w:eastAsia="en-US"/>
        </w:rPr>
        <w:instrText xml:space="preserve"> HYPERLINK "http://www.planalto.gov.br/ccivil_03/_ato2019-2022/2021/lei/L14133.htm" \l "art143"</w:instrText>
      </w:r>
      <w:r>
        <w:rPr>
          <w:rStyle w:val="Hyperlink"/>
          <w:lang w:eastAsia="en-US"/>
        </w:rPr>
        <w:fldChar w:fldCharType="separate"/>
      </w:r>
      <w:r>
        <w:rPr>
          <w:rStyle w:val="Hyperlink"/>
          <w:lang w:eastAsia="en-US"/>
        </w:rPr>
        <w:t>art. 143 da Lei nº 14.133, de 2021</w:t>
      </w:r>
      <w:r>
        <w:rPr>
          <w:rStyle w:val="Hyperlink"/>
          <w:lang w:eastAsia="en-US"/>
        </w:rPr>
        <w:fldChar w:fldCharType="end"/>
      </w:r>
      <w:r>
        <w:rPr>
          <w:lang w:eastAsia="en-US"/>
        </w:rPr>
        <w:t>, comunicando-se à empresa para emissão de Nota Fiscal no que pertine à parcela incontroversa da execução do objeto, para efeito de liquidação e pagamento.</w:t>
      </w:r>
    </w:p>
    <w:p>
      <w:pPr>
        <w:pStyle w:val="Nivel2"/>
        <w:numPr>
          <w:ilvl w:val="1"/>
          <w:numId w:val="165"/>
        </w:numPr>
        <w:ind w:hanging="0" w:left="0"/>
        <w:rPr>
          <w:rFonts w:ascii="Arial" w:hAnsi="Arial"/>
        </w:rPr>
      </w:pPr>
      <w:r>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ivel2"/>
        <w:numPr>
          <w:ilvl w:val="1"/>
          <w:numId w:val="166"/>
        </w:numPr>
        <w:ind w:hanging="0" w:left="0"/>
        <w:rPr>
          <w:rFonts w:ascii="Arial" w:hAnsi="Arial"/>
        </w:rPr>
      </w:pPr>
      <w:r>
        <w:rPr>
          <w:lang w:eastAsia="en-US"/>
        </w:rPr>
        <w:t>O recebimento provisório ou definitivo não excluirá a responsabilidade civil pela solidez e pela segurança dos bens nem a responsabilidade ético-profissional pela perfeita execução do contrato.</w:t>
      </w:r>
    </w:p>
    <w:p>
      <w:pPr>
        <w:pStyle w:val="Nvel1-SemNumPreto"/>
        <w:ind w:hanging="0" w:left="0"/>
        <w:rPr>
          <w:rFonts w:ascii="Arial" w:hAnsi="Arial"/>
        </w:rPr>
      </w:pPr>
      <w:r>
        <w:rPr/>
        <w:t>Liquidação</w:t>
      </w:r>
    </w:p>
    <w:p>
      <w:pPr>
        <w:pStyle w:val="Nivel2"/>
        <w:numPr>
          <w:ilvl w:val="1"/>
          <w:numId w:val="167"/>
        </w:numPr>
        <w:ind w:hanging="0" w:left="0"/>
        <w:rPr/>
      </w:pPr>
      <w:r>
        <w:rPr>
          <w:lang w:eastAsia="en-US"/>
        </w:rPr>
        <w:t>Recebida a Nota Fiscal ou documento de cobrança equivalente, correrá o prazo de dez dias úteis para fins de liquidação, na forma desta seção, prorrogáveis por igual período, nos termos do art. 7º, §3</w:t>
      </w:r>
      <w:r>
        <w:rPr>
          <w:rStyle w:val="InternetLink"/>
          <w:lang w:eastAsia="en-US"/>
        </w:rPr>
        <w:t>º da Instrução Normativa SEGES/ME nº 77/2022</w:t>
      </w:r>
      <w:r>
        <w:rPr>
          <w:lang w:eastAsia="en-US"/>
        </w:rPr>
        <w:t>.</w:t>
      </w:r>
    </w:p>
    <w:p>
      <w:pPr>
        <w:pStyle w:val="Nivel3"/>
        <w:numPr>
          <w:ilvl w:val="2"/>
          <w:numId w:val="168"/>
        </w:numPr>
        <w:ind w:hanging="0" w:left="284"/>
        <w:rPr/>
      </w:pPr>
      <w:r>
        <w:rPr/>
        <w:t xml:space="preserve">O prazo de que trata o item anterior será reduzido à metade, mantendo-se a possibilidade de prorrogação, no caso de contratações decorrentes de despesas cujos valores não ultrapassem o limite de que trata o </w:t>
      </w:r>
      <w:r>
        <w:fldChar w:fldCharType="begin"/>
      </w:r>
      <w:r>
        <w:rPr>
          <w:rStyle w:val="Hyperlink"/>
        </w:rPr>
        <w:instrText xml:space="preserve"> HYPERLINK "http://www.planalto.gov.br/ccivil_03/_ato2019-2022/2021/lei/L14133.htm" \l "art75"</w:instrText>
      </w:r>
      <w:r>
        <w:rPr>
          <w:rStyle w:val="Hyperlink"/>
        </w:rPr>
        <w:fldChar w:fldCharType="separate"/>
      </w:r>
      <w:r>
        <w:rPr>
          <w:rStyle w:val="Hyperlink"/>
        </w:rPr>
        <w:t>inciso II do art. 75 da Lei nº 14.133, de 2021</w:t>
      </w:r>
      <w:r>
        <w:rPr>
          <w:rStyle w:val="Hyperlink"/>
        </w:rPr>
        <w:fldChar w:fldCharType="end"/>
      </w:r>
      <w:r>
        <w:rPr/>
        <w:t>.</w:t>
      </w:r>
    </w:p>
    <w:p>
      <w:pPr>
        <w:pStyle w:val="Nivel2"/>
        <w:numPr>
          <w:ilvl w:val="1"/>
          <w:numId w:val="169"/>
        </w:numPr>
        <w:ind w:hanging="0" w:left="0"/>
        <w:rPr>
          <w:rFonts w:ascii="Arial" w:hAnsi="Arial"/>
        </w:rPr>
      </w:pPr>
      <w:r>
        <w:rPr>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2"/>
          <w:numId w:val="170"/>
        </w:numPr>
        <w:ind w:hanging="0" w:left="284"/>
        <w:rPr>
          <w:rFonts w:ascii="Arial" w:hAnsi="Arial"/>
        </w:rPr>
      </w:pPr>
      <w:r>
        <w:rPr>
          <w:lang w:eastAsia="en-US"/>
        </w:rPr>
        <w:t>o prazo de validade;</w:t>
      </w:r>
    </w:p>
    <w:p>
      <w:pPr>
        <w:pStyle w:val="Nivel3"/>
        <w:numPr>
          <w:ilvl w:val="2"/>
          <w:numId w:val="171"/>
        </w:numPr>
        <w:ind w:hanging="0" w:left="284"/>
        <w:rPr>
          <w:rFonts w:ascii="Arial" w:hAnsi="Arial"/>
        </w:rPr>
      </w:pPr>
      <w:r>
        <w:rPr>
          <w:lang w:eastAsia="en-US"/>
        </w:rPr>
        <w:t xml:space="preserve">a data da emissão; </w:t>
      </w:r>
    </w:p>
    <w:p>
      <w:pPr>
        <w:pStyle w:val="Nivel3"/>
        <w:numPr>
          <w:ilvl w:val="2"/>
          <w:numId w:val="172"/>
        </w:numPr>
        <w:ind w:hanging="0" w:left="284"/>
        <w:rPr>
          <w:rFonts w:ascii="Arial" w:hAnsi="Arial"/>
        </w:rPr>
      </w:pPr>
      <w:r>
        <w:rPr>
          <w:lang w:eastAsia="en-US"/>
        </w:rPr>
        <w:t xml:space="preserve">os dados do contrato e do órgão contratante; </w:t>
      </w:r>
    </w:p>
    <w:p>
      <w:pPr>
        <w:pStyle w:val="Nivel3"/>
        <w:numPr>
          <w:ilvl w:val="2"/>
          <w:numId w:val="173"/>
        </w:numPr>
        <w:ind w:hanging="0" w:left="284"/>
        <w:rPr>
          <w:rFonts w:ascii="Arial" w:hAnsi="Arial"/>
        </w:rPr>
      </w:pPr>
      <w:r>
        <w:rPr>
          <w:lang w:eastAsia="en-US"/>
        </w:rPr>
        <w:t xml:space="preserve">o período respectivo de execução do contrato; </w:t>
      </w:r>
    </w:p>
    <w:p>
      <w:pPr>
        <w:pStyle w:val="Nivel3"/>
        <w:numPr>
          <w:ilvl w:val="2"/>
          <w:numId w:val="174"/>
        </w:numPr>
        <w:ind w:hanging="0" w:left="284"/>
        <w:rPr>
          <w:rFonts w:ascii="Arial" w:hAnsi="Arial"/>
        </w:rPr>
      </w:pPr>
      <w:r>
        <w:rPr>
          <w:lang w:eastAsia="en-US"/>
        </w:rPr>
        <w:t xml:space="preserve">o valor a pagar; e </w:t>
      </w:r>
    </w:p>
    <w:p>
      <w:pPr>
        <w:pStyle w:val="Nivel3"/>
        <w:numPr>
          <w:ilvl w:val="2"/>
          <w:numId w:val="175"/>
        </w:numPr>
        <w:ind w:hanging="0" w:left="284"/>
        <w:rPr>
          <w:rFonts w:ascii="Arial" w:hAnsi="Arial"/>
        </w:rPr>
      </w:pPr>
      <w:r>
        <w:rPr>
          <w:lang w:eastAsia="en-US"/>
        </w:rPr>
        <w:t>eventual destaque do valor de retenções tributárias cabíveis.</w:t>
      </w:r>
    </w:p>
    <w:p>
      <w:pPr>
        <w:pStyle w:val="Nivel2"/>
        <w:numPr>
          <w:ilvl w:val="1"/>
          <w:numId w:val="176"/>
        </w:numPr>
        <w:ind w:hanging="0" w:left="0"/>
        <w:rPr>
          <w:rFonts w:ascii="Arial" w:hAnsi="Arial"/>
        </w:rPr>
      </w:pPr>
      <w:r>
        <w:rPr>
          <w:rFonts w:eastAsia="Calibri"/>
          <w:lang w:eastAsia="en-US"/>
        </w:rPr>
        <w:t xml:space="preserve"> </w:t>
      </w:r>
      <w:r>
        <w:rPr>
          <w:rFonts w:eastAsia="Calibri"/>
          <w:lang w:eastAsia="en-US"/>
        </w:rPr>
        <w:t xml:space="preserve">Havendo erro na apresentação da nota fiscal ou instrumento de cobrança equivalente, ou circunstância que impeça a </w:t>
      </w:r>
      <w:r>
        <w:rPr>
          <w:lang w:eastAsia="en-US"/>
        </w:rPr>
        <w:t>liquidação da despesa, esta ficará sobrestada até que o contratado providencie as medidas saneadoras, reiniciando-se o prazo após a comprovação da regularização da situação, sem ônus ao contratante;</w:t>
      </w:r>
    </w:p>
    <w:p>
      <w:pPr>
        <w:pStyle w:val="Nivel2"/>
        <w:numPr>
          <w:ilvl w:val="1"/>
          <w:numId w:val="177"/>
        </w:numPr>
        <w:ind w:hanging="0" w:left="0"/>
        <w:rPr/>
      </w:pPr>
      <w:r>
        <w:rPr>
          <w:lang w:eastAsia="en-US"/>
        </w:rPr>
        <w:t xml:space="preserve"> </w:t>
      </w:r>
      <w:r>
        <w:rPr>
          <w:lang w:eastAsia="en-US"/>
        </w:rPr>
        <w:t xml:space="preserve">A nota fiscal ou instrumento de cobrança equivalente deverá ser obrigatoriamente acompanhado da comprovação da regularidade fiscal, constatada por meio de consulta </w:t>
      </w:r>
      <w:r>
        <w:rPr>
          <w:i/>
          <w:iCs/>
          <w:lang w:eastAsia="en-US"/>
        </w:rPr>
        <w:t>on-line</w:t>
      </w:r>
      <w:r>
        <w:rPr>
          <w:lang w:eastAsia="en-US"/>
        </w:rPr>
        <w:t xml:space="preserve"> ao SICAF ou, na impossibilidade de acesso ao referido Sistema, mediante consulta aos sítios eletrônicos oficiais ou à documentação mencionada no </w:t>
      </w:r>
      <w:r>
        <w:fldChar w:fldCharType="begin"/>
      </w:r>
      <w:r>
        <w:rPr>
          <w:rStyle w:val="Hyperlink"/>
          <w:lang w:eastAsia="en-US"/>
        </w:rPr>
        <w:instrText xml:space="preserve"> HYPERLINK "http://www.planalto.gov.br/ccivil_03/_ato2019-2022/2021/lei/L14133.htm" \l "art68"</w:instrText>
      </w:r>
      <w:r>
        <w:rPr>
          <w:rStyle w:val="Hyperlink"/>
          <w:lang w:eastAsia="en-US"/>
        </w:rPr>
        <w:fldChar w:fldCharType="separate"/>
      </w:r>
      <w:r>
        <w:rPr>
          <w:rStyle w:val="Hyperlink"/>
          <w:lang w:eastAsia="en-US"/>
        </w:rPr>
        <w:t xml:space="preserve">art. 68 da Lei nº 14.133, de 2021.  </w:t>
      </w:r>
      <w:r>
        <w:rPr>
          <w:rStyle w:val="Hyperlink"/>
          <w:lang w:eastAsia="en-US"/>
        </w:rPr>
        <w:fldChar w:fldCharType="end"/>
      </w:r>
      <w:r>
        <w:rPr>
          <w:lang w:eastAsia="en-US"/>
        </w:rPr>
        <w:t xml:space="preserve"> </w:t>
      </w:r>
    </w:p>
    <w:p>
      <w:pPr>
        <w:pStyle w:val="Nivel2"/>
        <w:numPr>
          <w:ilvl w:val="1"/>
          <w:numId w:val="178"/>
        </w:numPr>
        <w:ind w:hanging="0" w:left="0"/>
        <w:rPr>
          <w:rFonts w:ascii="Arial" w:hAnsi="Arial"/>
        </w:rPr>
      </w:pPr>
      <w:r>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pPr>
        <w:pStyle w:val="Nivel2"/>
        <w:numPr>
          <w:ilvl w:val="1"/>
          <w:numId w:val="179"/>
        </w:numPr>
        <w:ind w:hanging="0" w:left="0"/>
        <w:rPr>
          <w:rFonts w:ascii="Arial" w:hAnsi="Arial"/>
        </w:rPr>
      </w:pPr>
      <w:r>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180"/>
        </w:numPr>
        <w:ind w:hanging="0" w:left="0"/>
        <w:rPr>
          <w:rFonts w:ascii="Arial" w:hAnsi="Arial"/>
        </w:rPr>
      </w:pPr>
      <w:r>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181"/>
        </w:numPr>
        <w:ind w:hanging="0" w:left="0"/>
        <w:rPr>
          <w:rFonts w:ascii="Arial" w:hAnsi="Arial"/>
        </w:rPr>
      </w:pPr>
      <w:r>
        <w:rPr>
          <w:lang w:eastAsia="en-US"/>
        </w:rPr>
        <w:t xml:space="preserve">Persistindo a irregularidade, o contratante deverá adotar as medidas necessárias à rescisão contratual nos autos do processo administrativo correspondente, assegurada ao contratado a ampla defesa. </w:t>
      </w:r>
    </w:p>
    <w:p>
      <w:pPr>
        <w:pStyle w:val="Nivel2"/>
        <w:numPr>
          <w:ilvl w:val="1"/>
          <w:numId w:val="182"/>
        </w:numPr>
        <w:ind w:hanging="0" w:left="0"/>
        <w:rPr>
          <w:rFonts w:ascii="Arial" w:hAnsi="Arial"/>
        </w:rPr>
      </w:pPr>
      <w:r>
        <w:rPr>
          <w:lang w:eastAsia="en-US"/>
        </w:rPr>
        <w:t xml:space="preserve">Havendo a efetiva execução do objeto, os pagamentos serão realizados normalmente, até que se decida pela rescisão do contrato, caso o contratado não regularize sua situação junto ao SICAF.  </w:t>
      </w:r>
    </w:p>
    <w:p>
      <w:pPr>
        <w:pStyle w:val="Nvel1-SemNumPreto"/>
        <w:ind w:hanging="0" w:left="0"/>
        <w:rPr>
          <w:rFonts w:ascii="Arial" w:hAnsi="Arial"/>
        </w:rPr>
      </w:pPr>
      <w:r>
        <w:rPr/>
        <w:t>Prazo de pagamento</w:t>
      </w:r>
    </w:p>
    <w:p>
      <w:pPr>
        <w:pStyle w:val="Nivel2"/>
        <w:numPr>
          <w:ilvl w:val="1"/>
          <w:numId w:val="183"/>
        </w:numPr>
        <w:ind w:hanging="0" w:left="0"/>
        <w:rPr/>
      </w:pPr>
      <w:r>
        <w:rPr/>
        <w:t xml:space="preserve">O pagamento será efetuado no prazo de até 10 (dez) dias úteis contados da finalização da liquidação da despesa, conforme seção anterior, nos termos da </w:t>
      </w:r>
      <w:hyperlink r:id="rId3">
        <w:r>
          <w:rPr>
            <w:rStyle w:val="Hyperlink"/>
          </w:rPr>
          <w:t>Instrução Normativa SEGES/ME nº 77, de 2022</w:t>
        </w:r>
      </w:hyperlink>
      <w:r>
        <w:rPr/>
        <w:t>.</w:t>
      </w:r>
    </w:p>
    <w:p>
      <w:pPr>
        <w:pStyle w:val="Nivel2"/>
        <w:numPr>
          <w:ilvl w:val="1"/>
          <w:numId w:val="184"/>
        </w:numPr>
        <w:ind w:hanging="0" w:left="0"/>
        <w:rPr>
          <w:rFonts w:ascii="Arial" w:hAnsi="Arial"/>
        </w:rPr>
      </w:pPr>
      <w:r>
        <w:rPr>
          <w:lang w:eastAsia="en-US"/>
        </w:rPr>
        <w:t xml:space="preserve">No caso de atraso pelo Contratante, os valores devidos ao contratado serão atualizados monetariamente entre o termo final do prazo de pagamento até a data de sua efetiva realização, mediante aplicação do índice </w:t>
      </w:r>
      <w:r>
        <w:rPr>
          <w:i w:val="false"/>
          <w:iCs w:val="false"/>
          <w:color w:val="000000"/>
          <w:lang w:eastAsia="en-US"/>
        </w:rPr>
        <w:t>IPCA</w:t>
      </w:r>
      <w:r>
        <w:rPr>
          <w:lang w:eastAsia="en-US"/>
        </w:rPr>
        <w:t xml:space="preserve"> de correção monetária.</w:t>
      </w:r>
    </w:p>
    <w:p>
      <w:pPr>
        <w:pStyle w:val="Nvel1-SemNumPreto"/>
        <w:ind w:hanging="0" w:left="0"/>
        <w:rPr>
          <w:rFonts w:ascii="Arial" w:hAnsi="Arial"/>
        </w:rPr>
      </w:pPr>
      <w:r>
        <w:rPr/>
        <w:t>Forma de pagamento</w:t>
      </w:r>
    </w:p>
    <w:p>
      <w:pPr>
        <w:pStyle w:val="Nivel2"/>
        <w:numPr>
          <w:ilvl w:val="1"/>
          <w:numId w:val="185"/>
        </w:numPr>
        <w:ind w:hanging="0" w:left="0"/>
        <w:rPr>
          <w:rFonts w:ascii="Arial" w:hAnsi="Arial"/>
        </w:rPr>
      </w:pPr>
      <w:r>
        <w:rPr>
          <w:lang w:eastAsia="en-US"/>
        </w:rPr>
        <w:t>O pagamento será realizado por meio de ordem bancária, para crédito em banco, agência e conta corrente indicados pelo contratado.</w:t>
      </w:r>
    </w:p>
    <w:p>
      <w:pPr>
        <w:pStyle w:val="Nivel2"/>
        <w:numPr>
          <w:ilvl w:val="1"/>
          <w:numId w:val="186"/>
        </w:numPr>
        <w:ind w:hanging="0" w:left="0"/>
        <w:rPr>
          <w:rFonts w:ascii="Arial" w:hAnsi="Arial"/>
        </w:rPr>
      </w:pPr>
      <w:r>
        <w:rPr>
          <w:lang w:eastAsia="en-US"/>
        </w:rPr>
        <w:t>Será considerada data do pagamento o dia em que constar como emitida a ordem bancária para pagamento.</w:t>
      </w:r>
    </w:p>
    <w:p>
      <w:pPr>
        <w:pStyle w:val="Nivel2"/>
        <w:numPr>
          <w:ilvl w:val="1"/>
          <w:numId w:val="187"/>
        </w:numPr>
        <w:ind w:hanging="0" w:left="0"/>
        <w:rPr>
          <w:rFonts w:ascii="Arial" w:hAnsi="Arial"/>
        </w:rPr>
      </w:pPr>
      <w:r>
        <w:rPr>
          <w:lang w:eastAsia="en-US"/>
        </w:rPr>
        <w:t>Quando do pagamento, será efetuada a retenção tributária prevista na legislação aplicável.</w:t>
      </w:r>
    </w:p>
    <w:p>
      <w:pPr>
        <w:pStyle w:val="Nivel3"/>
        <w:numPr>
          <w:ilvl w:val="2"/>
          <w:numId w:val="188"/>
        </w:numPr>
        <w:ind w:hanging="0" w:left="284"/>
        <w:rPr>
          <w:rFonts w:ascii="Arial" w:hAnsi="Arial"/>
        </w:rPr>
      </w:pPr>
      <w:r>
        <w:rPr>
          <w:lang w:eastAsia="en-US"/>
        </w:rPr>
        <w:t>Independentemente do percentual de tributo inserido na planilha, quando houver, serão retidos na fonte, quando da realização do pagamento, os percentuais estabelecidos na legislação vigente.</w:t>
      </w:r>
    </w:p>
    <w:p>
      <w:pPr>
        <w:pStyle w:val="Nivel2"/>
        <w:numPr>
          <w:ilvl w:val="1"/>
          <w:numId w:val="189"/>
        </w:numPr>
        <w:ind w:hanging="0" w:left="0"/>
        <w:rPr/>
      </w:pPr>
      <w:r>
        <w:rPr>
          <w:lang w:eastAsia="en-US"/>
        </w:rPr>
        <w:t xml:space="preserve">O contratado regularmente optante pelo Simples Nacional, nos termos da </w:t>
      </w:r>
      <w:hyperlink r:id="rId4">
        <w:r>
          <w:rPr>
            <w:rStyle w:val="Hyperlink"/>
            <w:lang w:eastAsia="en-US"/>
          </w:rPr>
          <w:t>Lei Complementar nº 123, de 2006</w:t>
        </w:r>
      </w:hyperlink>
      <w:r>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
        <w:ind w:hanging="0" w:left="0"/>
        <w:rPr>
          <w:rFonts w:ascii="Arial" w:hAnsi="Arial"/>
          <w:lang w:eastAsia="en-US"/>
        </w:rPr>
      </w:pPr>
      <w:r>
        <w:rPr>
          <w:lang w:eastAsia="en-US"/>
        </w:rPr>
      </w:r>
    </w:p>
    <w:p>
      <w:pPr>
        <w:pStyle w:val="Nvel1-SemNumPreto"/>
        <w:ind w:hanging="0" w:left="0"/>
        <w:rPr>
          <w:rFonts w:ascii="Arial" w:hAnsi="Arial"/>
        </w:rPr>
      </w:pPr>
      <w:r>
        <w:rPr/>
        <w:t>Cessão de crédito</w:t>
      </w:r>
    </w:p>
    <w:p>
      <w:pPr>
        <w:pStyle w:val="Nivel2"/>
        <w:numPr>
          <w:ilvl w:val="1"/>
          <w:numId w:val="190"/>
        </w:numPr>
        <w:ind w:hanging="0" w:left="0"/>
        <w:rPr/>
      </w:pPr>
      <w:r>
        <w:rPr>
          <w:lang w:eastAsia="en-US"/>
        </w:rPr>
        <w:t xml:space="preserve">É admitida a cessão fiduciária de direitos creditícios com instituição financeira, nos termos e de acordo com os procedimentos previstos na </w:t>
      </w:r>
      <w:hyperlink r:id="rId5">
        <w:r>
          <w:rPr>
            <w:rStyle w:val="Hyperlink"/>
            <w:lang w:eastAsia="en-US"/>
          </w:rPr>
          <w:t>Instrução Normativa SEGES/ME nº 53, de 8 de Julho de 2020</w:t>
        </w:r>
      </w:hyperlink>
      <w:r>
        <w:rPr>
          <w:lang w:eastAsia="en-US"/>
        </w:rPr>
        <w:t>, conforme as regras deste presente tópico.</w:t>
      </w:r>
    </w:p>
    <w:p>
      <w:pPr>
        <w:pStyle w:val="Nivel2"/>
        <w:numPr>
          <w:ilvl w:val="1"/>
          <w:numId w:val="191"/>
        </w:numPr>
        <w:ind w:hanging="0" w:left="0"/>
        <w:rPr>
          <w:rFonts w:ascii="Arial" w:hAnsi="Arial"/>
        </w:rPr>
      </w:pPr>
      <w:r>
        <w:rPr>
          <w:lang w:eastAsia="en-US"/>
        </w:rPr>
        <w:t>A eficácia da cessão de crédito</w:t>
      </w:r>
      <w:r>
        <w:rPr/>
        <w:t xml:space="preserve"> não abrangidas pela Instrução Normativa SEGES/ME nº 53, de 8 de julho de 2020,</w:t>
      </w:r>
      <w:r>
        <w:rPr>
          <w:lang w:eastAsia="en-US"/>
        </w:rPr>
        <w:t xml:space="preserve"> em relação à Administração, está condicionada à celebração de termo aditivo ao contrato administrativo.</w:t>
      </w:r>
    </w:p>
    <w:p>
      <w:pPr>
        <w:pStyle w:val="Nivel2"/>
        <w:numPr>
          <w:ilvl w:val="1"/>
          <w:numId w:val="192"/>
        </w:numPr>
        <w:ind w:hanging="0" w:left="0"/>
        <w:rPr/>
      </w:pPr>
      <w:r>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fldChar w:fldCharType="begin"/>
      </w:r>
      <w:r>
        <w:rPr>
          <w:rStyle w:val="Hyperlink"/>
          <w:lang w:eastAsia="en-US"/>
        </w:rPr>
        <w:instrText xml:space="preserve"> HYPERLINK "https://www.planalto.gov.br/ccivil_03/leis/l8429.htm" \l ":~:text=LEI%20N%C2%BA%208.429%2C%20DE%202%20DE%20JUNHO%20DE%201992&amp;text=Disp%C3%B5e%20sobre%20as%20san%C3%A7%C3%B5es%20aplic%C3%A1veis,fundacional%20e%20d%C3%A1%20outras%20provid%C3%AAncias."</w:instrText>
      </w:r>
      <w:r>
        <w:rPr>
          <w:rStyle w:val="Hyperlink"/>
          <w:lang w:eastAsia="en-US"/>
        </w:rPr>
        <w:fldChar w:fldCharType="separate"/>
      </w:r>
      <w:r>
        <w:rPr>
          <w:rStyle w:val="Hyperlink"/>
          <w:lang w:eastAsia="en-US"/>
        </w:rPr>
        <w:t>o art. 12 da Lei nº 8.429, de 1992</w:t>
      </w:r>
      <w:r>
        <w:rPr>
          <w:rStyle w:val="Hyperlink"/>
          <w:lang w:eastAsia="en-US"/>
        </w:rPr>
        <w:fldChar w:fldCharType="end"/>
      </w:r>
      <w:r>
        <w:rPr>
          <w:lang w:eastAsia="en-US"/>
        </w:rPr>
        <w:t xml:space="preserve">, nos termos do </w:t>
      </w:r>
      <w:hyperlink r:id="rId6">
        <w:r>
          <w:rPr>
            <w:rStyle w:val="Hyperlink"/>
            <w:lang w:eastAsia="en-US"/>
          </w:rPr>
          <w:t>Parecer JL-01, de 18 de maio de 2020.</w:t>
        </w:r>
      </w:hyperlink>
    </w:p>
    <w:p>
      <w:pPr>
        <w:pStyle w:val="Nivel2"/>
        <w:numPr>
          <w:ilvl w:val="1"/>
          <w:numId w:val="193"/>
        </w:numPr>
        <w:ind w:hanging="0" w:left="0"/>
        <w:rPr>
          <w:rFonts w:ascii="Arial" w:hAnsi="Arial"/>
        </w:rPr>
      </w:pPr>
      <w:r>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Pr>
          <w:sz w:val="19"/>
          <w:szCs w:val="19"/>
        </w:rPr>
        <w:t xml:space="preserve"> (INSTRUÇÃO NORMATIVA Nº 53, DE 8 DE JULHO DE 2020 e Anexos)</w:t>
      </w:r>
    </w:p>
    <w:p>
      <w:pPr>
        <w:pStyle w:val="Nivel2"/>
        <w:numPr>
          <w:ilvl w:val="1"/>
          <w:numId w:val="194"/>
        </w:numPr>
        <w:ind w:hanging="0" w:left="0"/>
        <w:rPr>
          <w:rFonts w:ascii="Arial" w:hAnsi="Arial"/>
        </w:rPr>
      </w:pPr>
      <w:r>
        <w:rPr>
          <w:lang w:eastAsia="en-US"/>
        </w:rPr>
        <w:t>A cessão de crédito não afetará a execução do objeto contratado, que continuará sob a integral responsabilidade do contratado.</w:t>
      </w:r>
    </w:p>
    <w:p>
      <w:pPr>
        <w:pStyle w:val="Nivel01"/>
        <w:numPr>
          <w:ilvl w:val="0"/>
          <w:numId w:val="4"/>
        </w:numPr>
        <w:ind w:hanging="0" w:left="0"/>
        <w:rPr>
          <w:rFonts w:ascii="Arial" w:hAnsi="Arial"/>
        </w:rPr>
      </w:pPr>
      <w:r>
        <w:rPr/>
        <w:t>FORMA E CRITÉRIOS DE SELEÇÃO DO FORNECEDOR E FORMA DE FORNECIMENTO</w:t>
      </w:r>
    </w:p>
    <w:p>
      <w:pPr>
        <w:pStyle w:val="Nvel1-SemNumPreto"/>
        <w:ind w:hanging="0" w:left="0"/>
        <w:rPr>
          <w:rFonts w:ascii="Arial" w:hAnsi="Arial"/>
        </w:rPr>
      </w:pPr>
      <w:r>
        <w:rPr/>
        <w:t>Forma de seleção e critério de julgamento da proposta</w:t>
      </w:r>
    </w:p>
    <w:p>
      <w:pPr>
        <w:pStyle w:val="Nivel2"/>
        <w:numPr>
          <w:ilvl w:val="1"/>
          <w:numId w:val="195"/>
        </w:numPr>
        <w:ind w:hanging="0" w:left="0"/>
        <w:rPr>
          <w:rFonts w:ascii="Arial" w:hAnsi="Arial"/>
        </w:rPr>
      </w:pPr>
      <w:r>
        <w:rPr/>
        <w:t xml:space="preserve">O fornecedor será selecionado por meio da realização de procedimento de LICITAÇÃO, na modalidade PREGÃO, sob a forma ELETRÔNICA, com adoção do critério de julgamento pelo </w:t>
      </w:r>
      <w:r>
        <w:rPr>
          <w:color w:val="000000"/>
        </w:rPr>
        <w:t>MENOR PREÇO.</w:t>
      </w:r>
    </w:p>
    <w:p>
      <w:pPr>
        <w:pStyle w:val="Nvel1-SemNumPreto"/>
        <w:ind w:hanging="0" w:left="0"/>
        <w:rPr>
          <w:rFonts w:ascii="Arial" w:hAnsi="Arial"/>
        </w:rPr>
      </w:pPr>
      <w:r>
        <w:rPr/>
        <w:t>Exigências de habilitação</w:t>
      </w:r>
    </w:p>
    <w:p>
      <w:pPr>
        <w:pStyle w:val="Nivel2"/>
        <w:numPr>
          <w:ilvl w:val="1"/>
          <w:numId w:val="196"/>
        </w:numPr>
        <w:ind w:hanging="0" w:left="0"/>
        <w:rPr>
          <w:rFonts w:ascii="Arial" w:hAnsi="Arial"/>
        </w:rPr>
      </w:pPr>
      <w:r>
        <w:rPr/>
        <w:t>Para fins de habilitação, deverá o licitante comprovar os seguintes requisitos:</w:t>
      </w:r>
    </w:p>
    <w:p>
      <w:pPr>
        <w:pStyle w:val="Nvel1-SemNumPreto"/>
        <w:ind w:hanging="0" w:left="0"/>
        <w:rPr>
          <w:rFonts w:ascii="Arial" w:hAnsi="Arial"/>
        </w:rPr>
      </w:pPr>
      <w:r>
        <w:rPr/>
        <w:t>Habilitação jurídica</w:t>
      </w:r>
    </w:p>
    <w:p>
      <w:pPr>
        <w:pStyle w:val="Nivel2"/>
        <w:numPr>
          <w:ilvl w:val="1"/>
          <w:numId w:val="197"/>
        </w:numPr>
        <w:ind w:hanging="0" w:left="0"/>
        <w:rPr>
          <w:rFonts w:ascii="Arial" w:hAnsi="Arial"/>
        </w:rPr>
      </w:pPr>
      <w:bookmarkStart w:id="1" w:name="_Ref115800561"/>
      <w:r>
        <w:rPr>
          <w:b/>
          <w:bCs/>
        </w:rPr>
        <w:t>Pessoa física:</w:t>
      </w:r>
      <w:r>
        <w:rPr/>
        <w:t xml:space="preserve"> cédula de identidade (RG) ou documento equivalente que, por força de lei, tenha validade para fins de identificação em todo o território nacional;</w:t>
      </w:r>
      <w:bookmarkEnd w:id="1"/>
    </w:p>
    <w:p>
      <w:pPr>
        <w:pStyle w:val="Nivel2"/>
        <w:numPr>
          <w:ilvl w:val="1"/>
          <w:numId w:val="198"/>
        </w:numPr>
        <w:ind w:hanging="0" w:left="0"/>
        <w:rPr>
          <w:rFonts w:ascii="Arial" w:hAnsi="Arial"/>
        </w:rPr>
      </w:pPr>
      <w:r>
        <w:rPr>
          <w:b/>
          <w:bCs/>
        </w:rPr>
        <w:t>Empresário individual:</w:t>
      </w:r>
      <w:r>
        <w:rPr/>
        <w:t xml:space="preserve"> inscrição no Registro Público de Empresas Mercantis, a cargo da Junta Comercial da respectiva sede; </w:t>
      </w:r>
    </w:p>
    <w:p>
      <w:pPr>
        <w:pStyle w:val="Nivel2"/>
        <w:numPr>
          <w:ilvl w:val="1"/>
          <w:numId w:val="199"/>
        </w:numPr>
        <w:ind w:hanging="0" w:left="0"/>
        <w:rPr/>
      </w:pPr>
      <w:r>
        <w:rPr>
          <w:b/>
          <w:bCs/>
        </w:rPr>
        <w:t>Microempreendedor Individual - MEI:</w:t>
      </w:r>
      <w:r>
        <w:rPr/>
        <w:t xml:space="preserve"> Certificado da Condição de Microempreendedor Individual - CCMEI, cuja aceitação ficará condicionada à verificação da autenticidade no sítio </w:t>
      </w:r>
      <w:hyperlink r:id="rId7">
        <w:r>
          <w:rPr>
            <w:rStyle w:val="Hyperlink"/>
          </w:rPr>
          <w:t>https://www.gov.br/empresas-e-negocios/pt-br/empreendedor</w:t>
        </w:r>
      </w:hyperlink>
      <w:r>
        <w:rPr/>
        <w:t xml:space="preserve">; </w:t>
      </w:r>
    </w:p>
    <w:p>
      <w:pPr>
        <w:pStyle w:val="Nivel2"/>
        <w:numPr>
          <w:ilvl w:val="1"/>
          <w:numId w:val="200"/>
        </w:numPr>
        <w:ind w:hanging="0" w:left="0"/>
        <w:rPr>
          <w:rFonts w:ascii="Arial" w:hAnsi="Arial"/>
        </w:rPr>
      </w:pPr>
      <w:r>
        <w:rPr>
          <w:color w:val="000000"/>
        </w:rPr>
        <w:t>Sociedade empresária, sociedade limitada unipessoal – SLU ou sociedade identificada como empresa individual de responsabilidade limitada - EIRELI:</w:t>
      </w:r>
      <w:r>
        <w:rPr/>
        <w:t xml:space="preserve"> inscrição do ato constitutivo, estatuto ou contrato social no Registro Público de Empresas Mercantis, a cargo da Junta Comercial da respectiva sede, acompanhada de documento comprobatório de seus administradores;</w:t>
      </w:r>
    </w:p>
    <w:p>
      <w:pPr>
        <w:pStyle w:val="Nivel2"/>
        <w:numPr>
          <w:ilvl w:val="1"/>
          <w:numId w:val="201"/>
        </w:numPr>
        <w:ind w:hanging="0" w:left="0"/>
        <w:rPr/>
      </w:pPr>
      <w:r>
        <w:rPr>
          <w:b/>
          <w:bCs/>
        </w:rPr>
        <w:t>Sociedade empresária estrangeira:</w:t>
      </w:r>
      <w: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8">
        <w:r>
          <w:rPr>
            <w:rStyle w:val="Hyperlink"/>
          </w:rPr>
          <w:t>Normativa DREI/ME n.º 77, de 18 de março de 2020</w:t>
        </w:r>
      </w:hyperlink>
      <w:r>
        <w:rPr/>
        <w:t>.</w:t>
      </w:r>
    </w:p>
    <w:p>
      <w:pPr>
        <w:pStyle w:val="Nivel2"/>
        <w:numPr>
          <w:ilvl w:val="1"/>
          <w:numId w:val="202"/>
        </w:numPr>
        <w:ind w:hanging="0" w:left="0"/>
        <w:rPr>
          <w:rFonts w:ascii="Arial" w:hAnsi="Arial"/>
        </w:rPr>
      </w:pPr>
      <w:r>
        <w:rPr>
          <w:b/>
          <w:bCs/>
        </w:rPr>
        <w:t xml:space="preserve">Sociedade simples: </w:t>
      </w:r>
      <w:r>
        <w:rPr/>
        <w:t>inscrição do ato constitutivo no Registro Civil de Pessoas Jurídicas do local de sua sede, acompanhada de documento comprobatório de seus administradores;</w:t>
      </w:r>
    </w:p>
    <w:p>
      <w:pPr>
        <w:pStyle w:val="Nivel2"/>
        <w:numPr>
          <w:ilvl w:val="1"/>
          <w:numId w:val="203"/>
        </w:numPr>
        <w:ind w:hanging="0" w:left="0"/>
        <w:rPr>
          <w:rFonts w:ascii="Arial" w:hAnsi="Arial"/>
        </w:rPr>
      </w:pPr>
      <w:r>
        <w:rPr>
          <w:b/>
          <w:bCs/>
        </w:rPr>
        <w:t>Filial, sucursal ou agência de sociedade simples ou empresária:</w:t>
      </w:r>
      <w:r>
        <w:rPr/>
        <w:t xml:space="preserve"> inscrição do ato constitutivo da filial, sucursal ou agência da sociedade simples ou empresária, respectivamente, no Registro Civil das Pessoas Jurídicas ou no Registro Público de Empresas </w:t>
      </w:r>
      <w:bookmarkStart w:id="2" w:name="_Int_ySfCXwr4"/>
      <w:r>
        <w:rPr/>
        <w:t>Mercantis onde</w:t>
      </w:r>
      <w:bookmarkEnd w:id="2"/>
      <w:r>
        <w:rPr/>
        <w:t xml:space="preserve"> opera, com averbação no Registro onde tem sede a matriz</w:t>
      </w:r>
    </w:p>
    <w:p>
      <w:pPr>
        <w:pStyle w:val="Nivel2"/>
        <w:numPr>
          <w:ilvl w:val="1"/>
          <w:numId w:val="204"/>
        </w:numPr>
        <w:ind w:hanging="0" w:left="0"/>
        <w:rPr/>
      </w:pPr>
      <w:r>
        <w:rPr>
          <w:b/>
          <w:bCs/>
        </w:rPr>
        <w:t>Sociedade cooperativa:</w:t>
      </w:r>
      <w:r>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Hyperlink"/>
        </w:rPr>
        <w:instrText xml:space="preserve"> HYPERLINK "https://www.planalto.gov.br/ccivil_03/leis/l5764.htm" \l "art107"</w:instrText>
      </w:r>
      <w:r>
        <w:rPr>
          <w:rStyle w:val="Hyperlink"/>
        </w:rPr>
        <w:fldChar w:fldCharType="separate"/>
      </w:r>
      <w:r>
        <w:rPr>
          <w:rStyle w:val="Hyperlink"/>
        </w:rPr>
        <w:t>art. 107 da Lei nº 5.764, de 16 de dezembro 1971</w:t>
      </w:r>
      <w:r>
        <w:rPr>
          <w:rStyle w:val="Hyperlink"/>
        </w:rPr>
        <w:fldChar w:fldCharType="end"/>
      </w:r>
      <w:r>
        <w:rPr/>
        <w:t>.</w:t>
      </w:r>
    </w:p>
    <w:p>
      <w:pPr>
        <w:pStyle w:val="Nivel2"/>
        <w:numPr>
          <w:ilvl w:val="1"/>
          <w:numId w:val="205"/>
        </w:numPr>
        <w:ind w:hanging="0" w:left="0"/>
        <w:rPr/>
      </w:pPr>
      <w:r>
        <w:rPr>
          <w:b/>
          <w:bCs/>
        </w:rPr>
        <w:t>Agricultor familiar:</w:t>
      </w:r>
      <w:r>
        <w:rPr/>
        <w:t xml:space="preserve"> Declaração de Aptidão ao Pronaf – DAP ou DAP-P válida, ou, ainda, outros documentos definidos pela Secretaria Especial de Agricultura Familiar e do Desenvolvimento Agrário, nos termos do</w:t>
      </w:r>
      <w:r>
        <w:fldChar w:fldCharType="begin"/>
      </w:r>
      <w:r>
        <w:rPr>
          <w:rStyle w:val="Hyperlink"/>
        </w:rPr>
        <w:instrText xml:space="preserve"> HYPERLINK "https://www.planalto.gov.br/ccivil_03/_ato2019-2022/2021/decreto/d10880.htm" \l "art4%C2%A72"</w:instrText>
      </w:r>
      <w:r>
        <w:rPr>
          <w:rStyle w:val="Hyperlink"/>
        </w:rPr>
        <w:fldChar w:fldCharType="separate"/>
      </w:r>
      <w:r>
        <w:rPr>
          <w:rStyle w:val="Hyperlink"/>
        </w:rPr>
        <w:t xml:space="preserve"> art. 4º, §2º do Decreto nº 10.880, de 2 de dezembro de 2021</w:t>
      </w:r>
      <w:r>
        <w:rPr>
          <w:rStyle w:val="Hyperlink"/>
        </w:rPr>
        <w:fldChar w:fldCharType="end"/>
      </w:r>
      <w:r>
        <w:rPr/>
        <w:t>.</w:t>
      </w:r>
    </w:p>
    <w:p>
      <w:pPr>
        <w:pStyle w:val="Nivel2"/>
        <w:numPr>
          <w:ilvl w:val="1"/>
          <w:numId w:val="206"/>
        </w:numPr>
        <w:ind w:hanging="0" w:left="0"/>
        <w:rPr/>
      </w:pPr>
      <w:r>
        <w:rPr>
          <w:b/>
          <w:bCs/>
        </w:rPr>
        <w:t>Produtor Rural:</w:t>
      </w:r>
      <w:r>
        <w:rPr/>
        <w:t xml:space="preserve"> matrícula no Cadastro Específico do INSS – CEI, que comprove a qualificação como produtor rural pessoa física, nos termos da </w:t>
      </w:r>
      <w:hyperlink r:id="rId9">
        <w:r>
          <w:rPr>
            <w:rStyle w:val="Hyperlink"/>
          </w:rPr>
          <w:t>Instrução Normativa RFB n. 971, de 13 de novembro de 2009</w:t>
        </w:r>
      </w:hyperlink>
      <w:r>
        <w:rPr/>
        <w:t xml:space="preserve"> (arts. 17 a 19 e 165).</w:t>
      </w:r>
    </w:p>
    <w:p>
      <w:pPr>
        <w:pStyle w:val="Nivel2"/>
        <w:numPr>
          <w:ilvl w:val="1"/>
          <w:numId w:val="207"/>
        </w:numPr>
        <w:ind w:hanging="0" w:left="0"/>
        <w:rPr>
          <w:rFonts w:ascii="Arial" w:hAnsi="Arial"/>
        </w:rPr>
      </w:pPr>
      <w:r>
        <w:rPr/>
        <w:t>Os documentos apresentados deverão estar acompanhados de todas as alterações ou da consolidação respectiva.</w:t>
      </w:r>
    </w:p>
    <w:p>
      <w:pPr>
        <w:pStyle w:val="Nvel1-SemNumPreto"/>
        <w:ind w:hanging="0" w:left="0"/>
        <w:rPr>
          <w:rFonts w:ascii="Arial" w:hAnsi="Arial"/>
        </w:rPr>
      </w:pPr>
      <w:r>
        <w:rPr/>
        <w:t>Habilitação fiscal, social e trabalhista</w:t>
      </w:r>
    </w:p>
    <w:p>
      <w:pPr>
        <w:pStyle w:val="Nivel2"/>
        <w:numPr>
          <w:ilvl w:val="1"/>
          <w:numId w:val="208"/>
        </w:numPr>
        <w:ind w:hanging="0" w:left="0"/>
        <w:rPr>
          <w:rFonts w:ascii="Arial" w:hAnsi="Arial"/>
        </w:rPr>
      </w:pPr>
      <w:r>
        <w:rPr/>
        <w:t>Prova de inscrição no Cadastro Nacional de Pessoas Jurídicas ou no Cadastro de Pessoas Físicas, conforme o caso;</w:t>
      </w:r>
    </w:p>
    <w:p>
      <w:pPr>
        <w:pStyle w:val="Nivel2"/>
        <w:numPr>
          <w:ilvl w:val="1"/>
          <w:numId w:val="209"/>
        </w:numPr>
        <w:ind w:hanging="0" w:left="0"/>
        <w:rPr>
          <w:rFonts w:ascii="Arial" w:hAnsi="Arial"/>
        </w:rPr>
      </w:pPr>
      <w: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210"/>
        </w:numPr>
        <w:ind w:hanging="0" w:left="0"/>
        <w:rPr>
          <w:rFonts w:ascii="Arial" w:hAnsi="Arial"/>
        </w:rPr>
      </w:pPr>
      <w:r>
        <w:rPr/>
        <w:t>Prova de regularidade com o Fundo de Garantia do Tempo de Serviço (FGTS);</w:t>
      </w:r>
    </w:p>
    <w:p>
      <w:pPr>
        <w:pStyle w:val="Nivel2"/>
        <w:numPr>
          <w:ilvl w:val="1"/>
          <w:numId w:val="211"/>
        </w:numPr>
        <w:ind w:hanging="0" w:left="0"/>
        <w:rPr>
          <w:rFonts w:ascii="Arial" w:hAnsi="Arial"/>
        </w:rPr>
      </w:pPr>
      <w: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ivel2"/>
        <w:numPr>
          <w:ilvl w:val="1"/>
          <w:numId w:val="212"/>
        </w:numPr>
        <w:ind w:hanging="0" w:left="0"/>
        <w:rPr>
          <w:rFonts w:ascii="Arial" w:hAnsi="Arial"/>
        </w:rPr>
      </w:pPr>
      <w:r>
        <w:rPr>
          <w:color w:val="000000"/>
        </w:rPr>
        <w:t xml:space="preserve">Prova de inscrição no cadastro de contribuintes </w:t>
      </w:r>
      <w:r>
        <w:rPr>
          <w:i/>
          <w:iCs/>
          <w:color w:val="000000"/>
        </w:rPr>
        <w:t>Municipal/Distrital</w:t>
      </w:r>
      <w:r>
        <w:rPr>
          <w:color w:val="000000"/>
        </w:rPr>
        <w:t xml:space="preserve"> relativo ao domicílio ou sede do fornecedor, pertinente ao seu ramo de atividade e compatível com o objeto contratual;</w:t>
      </w:r>
      <w:r>
        <w:rPr/>
        <w:t xml:space="preserve"> </w:t>
      </w:r>
    </w:p>
    <w:p>
      <w:pPr>
        <w:pStyle w:val="Nivel2"/>
        <w:numPr>
          <w:ilvl w:val="1"/>
          <w:numId w:val="213"/>
        </w:numPr>
        <w:ind w:hanging="0" w:left="0"/>
        <w:rPr>
          <w:rFonts w:ascii="Arial" w:hAnsi="Arial"/>
        </w:rPr>
      </w:pPr>
      <w:r>
        <w:rPr/>
        <w:t xml:space="preserve">Prova de regularidade com a Fazenda </w:t>
      </w:r>
      <w:r>
        <w:rPr>
          <w:i/>
          <w:iCs/>
          <w:color w:val="000000"/>
        </w:rPr>
        <w:t>Municipal/Distrital</w:t>
      </w:r>
      <w:r>
        <w:rPr>
          <w:color w:val="FF0000"/>
        </w:rPr>
        <w:t xml:space="preserve"> </w:t>
      </w:r>
      <w:r>
        <w:rPr/>
        <w:t>do domicílio ou sede do fornecedor, relativa à atividade em cujo exercício contrata ou concorre;</w:t>
      </w:r>
    </w:p>
    <w:p>
      <w:pPr>
        <w:pStyle w:val="Nivel2"/>
        <w:numPr>
          <w:ilvl w:val="1"/>
          <w:numId w:val="214"/>
        </w:numPr>
        <w:ind w:hanging="0" w:left="0"/>
        <w:rPr>
          <w:rFonts w:ascii="Arial" w:hAnsi="Arial"/>
        </w:rPr>
      </w:pPr>
      <w:r>
        <w:rPr/>
        <w:t>Caso o fornecedor seja considerado isento dos tributo</w:t>
      </w:r>
      <w:r>
        <w:rPr>
          <w:color w:val="000000"/>
        </w:rPr>
        <w:t xml:space="preserve">s </w:t>
      </w:r>
      <w:r>
        <w:rPr>
          <w:i/>
          <w:iCs/>
          <w:color w:val="000000"/>
        </w:rPr>
        <w:t>Municipal/Distrital</w:t>
      </w:r>
      <w:r>
        <w:rPr>
          <w:color w:val="FF0000"/>
        </w:rPr>
        <w:t xml:space="preserve"> </w:t>
      </w:r>
      <w:r>
        <w:rPr/>
        <w:t>relacionados ao objeto contratual, deverá comprovar tal condição mediante a apresentação de declaração da Fazenda respectiva do seu domicílio ou sede, ou outra equivalente, na forma da lei.</w:t>
      </w:r>
    </w:p>
    <w:p>
      <w:pPr>
        <w:pStyle w:val="Nivel2"/>
        <w:numPr>
          <w:ilvl w:val="1"/>
          <w:numId w:val="215"/>
        </w:numPr>
        <w:ind w:hanging="0" w:left="0"/>
        <w:rPr>
          <w:rFonts w:ascii="Arial" w:hAnsi="Arial"/>
        </w:rPr>
      </w:pPr>
      <w:r>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vel1-SemNumPreto"/>
        <w:ind w:hanging="0" w:left="0"/>
        <w:rPr>
          <w:rFonts w:ascii="Arial" w:hAnsi="Arial"/>
        </w:rPr>
      </w:pPr>
      <w:r>
        <w:rPr/>
        <w:t>Qualificação Econômico-Financeira</w:t>
      </w:r>
    </w:p>
    <w:p>
      <w:pPr>
        <w:pStyle w:val="Nivel2"/>
        <w:numPr>
          <w:ilvl w:val="1"/>
          <w:numId w:val="216"/>
        </w:numPr>
        <w:ind w:hanging="0" w:left="0"/>
        <w:rPr/>
      </w:pPr>
      <w:r>
        <w:rPr/>
        <w:t>Certidão negativa de insolvência civil expedida pelo distribuidor do domicílio ou sede do licitante, caso se trate de pessoa física, desde que admitida a sua participação na licitação (</w:t>
      </w:r>
      <w:r>
        <w:fldChar w:fldCharType="begin"/>
      </w:r>
      <w:r>
        <w:rPr>
          <w:rStyle w:val="Hyperlink"/>
        </w:rPr>
        <w:instrText xml:space="preserve"> HYPERLINK "https://www.gov.br/compras/pt-br/acesso-a-informacao/legislacao/instrucoes-normativas/instrucao-normativa-seges-me-no-116-de-21-de-dezembro-de-2021" \l "art5"</w:instrText>
      </w:r>
      <w:r>
        <w:rPr>
          <w:rStyle w:val="Hyperlink"/>
        </w:rPr>
        <w:fldChar w:fldCharType="separate"/>
      </w:r>
      <w:r>
        <w:rPr>
          <w:rStyle w:val="Hyperlink"/>
        </w:rPr>
        <w:t>art. 5º, inciso II, alínea “c”, da Instrução Normativa Seges/ME nº 116, de 2021</w:t>
      </w:r>
      <w:r>
        <w:rPr>
          <w:rStyle w:val="Hyperlink"/>
        </w:rPr>
        <w:fldChar w:fldCharType="end"/>
      </w:r>
      <w:r>
        <w:rPr/>
        <w:t xml:space="preserve">), ou de sociedade simples; </w:t>
      </w:r>
    </w:p>
    <w:p>
      <w:pPr>
        <w:pStyle w:val="Nivel2"/>
        <w:numPr>
          <w:ilvl w:val="1"/>
          <w:numId w:val="217"/>
        </w:numPr>
        <w:ind w:hanging="0" w:left="0"/>
        <w:rPr/>
      </w:pPr>
      <w:r>
        <w:rPr/>
        <w:t xml:space="preserve">Certidão negativa de falência expedida pelo distribuidor da sede do fornecedor - </w:t>
      </w:r>
      <w:r>
        <w:fldChar w:fldCharType="begin"/>
      </w:r>
      <w:r>
        <w:rPr>
          <w:rStyle w:val="Hyperlink"/>
        </w:rPr>
        <w:instrText xml:space="preserve"> HYPERLINK "http://www.planalto.gov.br/ccivil_03/_ato2019-2022/2021/lei/L14133.htm" \l "art69"</w:instrText>
      </w:r>
      <w:r>
        <w:rPr>
          <w:rStyle w:val="Hyperlink"/>
        </w:rPr>
        <w:fldChar w:fldCharType="separate"/>
      </w:r>
      <w:r>
        <w:rPr>
          <w:rStyle w:val="Hyperlink"/>
        </w:rPr>
        <w:t>Lei nº 14.133, de 2021, art. 69, caput, inciso II</w:t>
      </w:r>
      <w:r>
        <w:rPr>
          <w:rStyle w:val="Hyperlink"/>
        </w:rPr>
        <w:fldChar w:fldCharType="end"/>
      </w:r>
      <w:r>
        <w:rPr/>
        <w:t>);</w:t>
      </w:r>
    </w:p>
    <w:p>
      <w:pPr>
        <w:pStyle w:val="Nivel2"/>
        <w:numPr>
          <w:ilvl w:val="1"/>
          <w:numId w:val="218"/>
        </w:numPr>
        <w:ind w:hanging="0" w:left="0"/>
        <w:rPr>
          <w:rFonts w:ascii="Arial" w:hAnsi="Arial"/>
        </w:rPr>
      </w:pPr>
      <w:r>
        <w:rPr/>
        <w:t>Balanço patrimonial, demonstração de resultado de exercício e demais demonstrações contábeis dos 2 (dois) últimos exercícios sociais, comprovando;</w:t>
      </w:r>
    </w:p>
    <w:p>
      <w:pPr>
        <w:pStyle w:val="Nivel3"/>
        <w:numPr>
          <w:ilvl w:val="2"/>
          <w:numId w:val="219"/>
        </w:numPr>
        <w:ind w:hanging="0" w:left="284"/>
        <w:rPr>
          <w:rFonts w:ascii="Arial" w:hAnsi="Arial"/>
        </w:rPr>
      </w:pPr>
      <w:r>
        <w:rPr/>
        <w:t>índices de Liquidez Geral (LG), Liquidez Corrente (LC), e Solvência Geral (SG) superiores a 1 (um);</w:t>
      </w:r>
    </w:p>
    <w:p>
      <w:pPr>
        <w:pStyle w:val="Nivel3"/>
        <w:numPr>
          <w:ilvl w:val="2"/>
          <w:numId w:val="220"/>
        </w:numPr>
        <w:ind w:hanging="0" w:left="284"/>
        <w:rPr>
          <w:rFonts w:ascii="Arial" w:hAnsi="Arial"/>
        </w:rPr>
      </w:pPr>
      <w:r>
        <w:rPr/>
        <w:t>As empresas criadas no exercício financeiro da licitação deverão atender a todas as exigências da habilitação e poderão substituir os demonstrativos contábeis pelo balanço de abertura.</w:t>
      </w:r>
    </w:p>
    <w:p>
      <w:pPr>
        <w:pStyle w:val="Nivel3"/>
        <w:numPr>
          <w:ilvl w:val="2"/>
          <w:numId w:val="221"/>
        </w:numPr>
        <w:ind w:hanging="0" w:left="284"/>
        <w:rPr>
          <w:rFonts w:ascii="Arial" w:hAnsi="Arial"/>
        </w:rPr>
      </w:pPr>
      <w:r>
        <w:rPr/>
        <w:t>Os documentos referidos acima limitar-se-ão ao último exercício no caso de a pessoa jurídica ter sido constituída há menos de 2 (dois) anos;</w:t>
      </w:r>
    </w:p>
    <w:p>
      <w:pPr>
        <w:pStyle w:val="Nivel3"/>
        <w:numPr>
          <w:ilvl w:val="2"/>
          <w:numId w:val="222"/>
        </w:numPr>
        <w:ind w:hanging="0" w:left="284"/>
        <w:rPr>
          <w:rFonts w:ascii="Arial" w:hAnsi="Arial"/>
        </w:rPr>
      </w:pPr>
      <w:r>
        <w:rPr/>
        <w:t>Os documentos referidos acima deverão ser exigidos com base no limite definido pela Receita Federal do Brasil para transmissão da Escrituração Contábil Digital - ECD ao Sped.</w:t>
      </w:r>
    </w:p>
    <w:p>
      <w:pPr>
        <w:pStyle w:val="Nivel2"/>
        <w:numPr>
          <w:ilvl w:val="1"/>
          <w:numId w:val="223"/>
        </w:numPr>
        <w:ind w:hanging="0" w:left="0"/>
        <w:rPr>
          <w:rFonts w:ascii="Arial" w:hAnsi="Arial"/>
        </w:rPr>
      </w:pPr>
      <w:r>
        <w:rPr/>
        <w:t>C</w:t>
      </w:r>
      <w:r>
        <w:rPr>
          <w:color w:val="000000"/>
        </w:rPr>
        <w:t>aso a empresa licitante apresente resultado inferior ou igual a 1 (um) em qualquer dos índices de Liquidez Geral (LG), Solvência Geral (SG) e Liquidez Corrente (LC), será exigido para fins de habilitação capital mínimo de 10% [até 10%] do valor total estimado da contratação.</w:t>
      </w:r>
    </w:p>
    <w:p>
      <w:pPr>
        <w:pStyle w:val="Nivel2"/>
        <w:numPr>
          <w:ilvl w:val="1"/>
          <w:numId w:val="224"/>
        </w:numPr>
        <w:ind w:hanging="0" w:left="0"/>
        <w:rPr>
          <w:rFonts w:ascii="Arial" w:hAnsi="Arial"/>
        </w:rPr>
      </w:pPr>
      <w:r>
        <w:rPr/>
        <w:t>As empresas criadas no exercício financeiro da licitação deverão atender a todas as exigências da habilitação e poderão substituir os demonstrativos contábeis pelo balanço de abertura. (Lei nº 14.133, de 2021, art. 65, §1º).</w:t>
      </w:r>
    </w:p>
    <w:p>
      <w:pPr>
        <w:pStyle w:val="Nvel1-SemNumPreto"/>
        <w:ind w:hanging="0" w:left="0"/>
        <w:rPr>
          <w:rFonts w:ascii="Arial" w:hAnsi="Arial"/>
        </w:rPr>
      </w:pPr>
      <w:r>
        <w:rPr/>
        <w:t>Qualificação Técnica</w:t>
      </w:r>
    </w:p>
    <w:p>
      <w:pPr>
        <w:pStyle w:val="Nvel2-Red"/>
        <w:numPr>
          <w:ilvl w:val="1"/>
          <w:numId w:val="225"/>
        </w:numPr>
        <w:ind w:hanging="0" w:left="0"/>
        <w:rPr>
          <w:rFonts w:ascii="Arial" w:hAnsi="Arial"/>
        </w:rPr>
      </w:pPr>
      <w:r>
        <w:rPr>
          <w:color w:val="000000"/>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vel3-R"/>
        <w:numPr>
          <w:ilvl w:val="2"/>
          <w:numId w:val="226"/>
        </w:numPr>
        <w:ind w:hanging="0" w:left="284"/>
        <w:rPr>
          <w:rFonts w:ascii="Arial" w:hAnsi="Arial"/>
        </w:rPr>
      </w:pPr>
      <w:r>
        <w:rPr>
          <w:color w:val="000000"/>
        </w:rPr>
        <w:t>Os atestados de capacidade técnica poderão ser apresentados em nome da matriz ou da filial do fornecedor.</w:t>
      </w:r>
    </w:p>
    <w:p>
      <w:pPr>
        <w:pStyle w:val="Nvel3-R"/>
        <w:numPr>
          <w:ilvl w:val="2"/>
          <w:numId w:val="227"/>
        </w:numPr>
        <w:ind w:hanging="0" w:left="284"/>
        <w:rPr>
          <w:rFonts w:ascii="Arial" w:hAnsi="Arial"/>
        </w:rPr>
      </w:pPr>
      <w:r>
        <w:rPr>
          <w:color w:val="000000"/>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ivel2"/>
        <w:numPr>
          <w:ilvl w:val="1"/>
          <w:numId w:val="228"/>
        </w:numPr>
        <w:ind w:hanging="0" w:left="0"/>
        <w:rPr>
          <w:rFonts w:ascii="Arial" w:hAnsi="Arial"/>
        </w:rPr>
      </w:pPr>
      <w:r>
        <w:rPr/>
        <w:t>Caso admitida a participação de cooperativas, será exigida a seguinte documentação complementar:</w:t>
      </w:r>
    </w:p>
    <w:p>
      <w:pPr>
        <w:pStyle w:val="Nivel3"/>
        <w:numPr>
          <w:ilvl w:val="2"/>
          <w:numId w:val="229"/>
        </w:numPr>
        <w:ind w:hanging="0" w:left="284"/>
        <w:rPr/>
      </w:pPr>
      <w: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r>
        <w:fldChar w:fldCharType="begin"/>
      </w:r>
      <w:r>
        <w:rPr>
          <w:rStyle w:val="Hyperlink"/>
        </w:rPr>
        <w:instrText xml:space="preserve"> HYPERLINK "https://www.planalto.gov.br/ccivil_03/leis/l5764.htm" \l "art4"</w:instrText>
      </w:r>
      <w:r>
        <w:rPr>
          <w:rStyle w:val="Hyperlink"/>
        </w:rPr>
        <w:fldChar w:fldCharType="separate"/>
      </w:r>
      <w:r>
        <w:rPr>
          <w:rStyle w:val="Hyperlink"/>
        </w:rPr>
        <w:t>arts. 4º, inciso XI, 21, inciso I</w:t>
      </w:r>
      <w:r>
        <w:rPr>
          <w:rStyle w:val="Hyperlink"/>
        </w:rPr>
        <w:fldChar w:fldCharType="end"/>
      </w:r>
      <w:r>
        <w:rPr/>
        <w:t xml:space="preserve"> e </w:t>
      </w:r>
      <w:r>
        <w:fldChar w:fldCharType="begin"/>
      </w:r>
      <w:r>
        <w:rPr>
          <w:rStyle w:val="Hyperlink"/>
        </w:rPr>
        <w:instrText xml:space="preserve"> HYPERLINK "https://www.planalto.gov.br/ccivil_03/leis/l5764.htm" \l "art42"</w:instrText>
      </w:r>
      <w:r>
        <w:rPr>
          <w:rStyle w:val="Hyperlink"/>
        </w:rPr>
        <w:fldChar w:fldCharType="separate"/>
      </w:r>
      <w:r>
        <w:rPr>
          <w:rStyle w:val="Hyperlink"/>
        </w:rPr>
        <w:t>42, §§2º a 6º da Lei n. 5.764, de 1971</w:t>
      </w:r>
      <w:r>
        <w:rPr>
          <w:rStyle w:val="Hyperlink"/>
        </w:rPr>
        <w:fldChar w:fldCharType="end"/>
      </w:r>
      <w:r>
        <w:rPr/>
        <w:t>;</w:t>
      </w:r>
    </w:p>
    <w:p>
      <w:pPr>
        <w:pStyle w:val="Nivel3"/>
        <w:numPr>
          <w:ilvl w:val="2"/>
          <w:numId w:val="230"/>
        </w:numPr>
        <w:ind w:hanging="0" w:left="284"/>
        <w:rPr>
          <w:rFonts w:ascii="Arial" w:hAnsi="Arial"/>
        </w:rPr>
      </w:pPr>
      <w:r>
        <w:rPr/>
        <w:t>A declaração de regularidade de situação do contribuinte individual – DRSCI, para cada um dos cooperados indicados;</w:t>
      </w:r>
    </w:p>
    <w:p>
      <w:pPr>
        <w:pStyle w:val="Nivel3"/>
        <w:numPr>
          <w:ilvl w:val="2"/>
          <w:numId w:val="231"/>
        </w:numPr>
        <w:ind w:hanging="0" w:left="284"/>
        <w:rPr>
          <w:rFonts w:ascii="Arial" w:hAnsi="Arial"/>
        </w:rPr>
      </w:pPr>
      <w:r>
        <w:rPr/>
        <w:t xml:space="preserve">A comprovação do capital social proporcional ao número de cooperados necessários à execução contratual; </w:t>
      </w:r>
    </w:p>
    <w:p>
      <w:pPr>
        <w:pStyle w:val="Nivel3"/>
        <w:numPr>
          <w:ilvl w:val="2"/>
          <w:numId w:val="232"/>
        </w:numPr>
        <w:ind w:hanging="0" w:left="284"/>
        <w:rPr/>
      </w:pPr>
      <w:r>
        <w:rPr/>
        <w:t xml:space="preserve">O registro previsto na </w:t>
      </w:r>
      <w:r>
        <w:fldChar w:fldCharType="begin"/>
      </w:r>
      <w:r>
        <w:rPr>
          <w:rStyle w:val="Hyperlink"/>
        </w:rPr>
        <w:instrText xml:space="preserve"> HYPERLINK "https://www.planalto.gov.br/ccivil_03/leis/l5764.htm" \l "art107"</w:instrText>
      </w:r>
      <w:r>
        <w:rPr>
          <w:rStyle w:val="Hyperlink"/>
        </w:rPr>
        <w:fldChar w:fldCharType="separate"/>
      </w:r>
      <w:r>
        <w:rPr>
          <w:rStyle w:val="Hyperlink"/>
        </w:rPr>
        <w:t>Lei n. 5.764, de 1971, art. 107</w:t>
      </w:r>
      <w:r>
        <w:rPr>
          <w:rStyle w:val="Hyperlink"/>
        </w:rPr>
        <w:fldChar w:fldCharType="end"/>
      </w:r>
      <w:r>
        <w:rPr/>
        <w:t>;</w:t>
      </w:r>
    </w:p>
    <w:p>
      <w:pPr>
        <w:pStyle w:val="Nivel3"/>
        <w:numPr>
          <w:ilvl w:val="2"/>
          <w:numId w:val="233"/>
        </w:numPr>
        <w:ind w:hanging="0" w:left="284"/>
        <w:rPr>
          <w:rFonts w:ascii="Arial" w:hAnsi="Arial"/>
        </w:rPr>
      </w:pPr>
      <w:r>
        <w:rPr/>
        <w:t xml:space="preserve"> </w:t>
      </w:r>
      <w:r>
        <w:rPr/>
        <w:t>A comprovação de integração das respectivas quotas-partes por parte dos cooperados que executarão o contrato; e</w:t>
      </w:r>
    </w:p>
    <w:p>
      <w:pPr>
        <w:pStyle w:val="Nivel3"/>
        <w:numPr>
          <w:ilvl w:val="2"/>
          <w:numId w:val="234"/>
        </w:numPr>
        <w:ind w:hanging="0" w:left="284"/>
        <w:rPr>
          <w:rFonts w:ascii="Arial" w:hAnsi="Arial"/>
        </w:rPr>
      </w:pPr>
      <w:r>
        <w:rPr/>
        <w:t xml:space="preserve"> </w:t>
      </w:r>
      <w:r>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pPr>
        <w:pStyle w:val="Nivel3"/>
        <w:numPr>
          <w:ilvl w:val="2"/>
          <w:numId w:val="235"/>
        </w:numPr>
        <w:ind w:hanging="0" w:left="284"/>
        <w:rPr/>
      </w:pPr>
      <w:r>
        <w:rPr/>
        <w:t xml:space="preserve">A última auditoria contábil-financeira da cooperativa, conforme dispõe o </w:t>
      </w:r>
      <w:r>
        <w:fldChar w:fldCharType="begin"/>
      </w:r>
      <w:r>
        <w:rPr>
          <w:rStyle w:val="Hyperlink"/>
        </w:rPr>
        <w:instrText xml:space="preserve"> HYPERLINK "https://www.planalto.gov.br/ccivil_03/leis/l5764.htm" \l "art112"</w:instrText>
      </w:r>
      <w:r>
        <w:rPr>
          <w:rStyle w:val="Hyperlink"/>
        </w:rPr>
        <w:fldChar w:fldCharType="separate"/>
      </w:r>
      <w:r>
        <w:rPr>
          <w:rStyle w:val="Hyperlink"/>
        </w:rPr>
        <w:t>art. 112 da Lei n. 5.764, de 1971</w:t>
      </w:r>
      <w:r>
        <w:rPr>
          <w:rStyle w:val="Hyperlink"/>
        </w:rPr>
        <w:fldChar w:fldCharType="end"/>
      </w:r>
      <w:r>
        <w:rPr/>
        <w:t>, ou uma declaração, sob as penas da lei, de que tal auditoria não foi exigida pelo órgão fiscalizador.</w:t>
      </w:r>
    </w:p>
    <w:p>
      <w:pPr>
        <w:pStyle w:val="Nivel01"/>
        <w:numPr>
          <w:ilvl w:val="0"/>
          <w:numId w:val="4"/>
        </w:numPr>
        <w:ind w:hanging="0" w:left="0"/>
        <w:rPr>
          <w:rFonts w:ascii="Arial" w:hAnsi="Arial"/>
        </w:rPr>
      </w:pPr>
      <w:r>
        <w:rPr/>
        <w:t>ESTIMATIVAS DO VALOR DA CONTRATAÇÃO</w:t>
      </w:r>
    </w:p>
    <w:p>
      <w:pPr>
        <w:pStyle w:val="Nvel2-Red"/>
        <w:numPr>
          <w:ilvl w:val="1"/>
          <w:numId w:val="236"/>
        </w:numPr>
        <w:ind w:hanging="0" w:left="0"/>
        <w:rPr>
          <w:rFonts w:ascii="Arial" w:hAnsi="Arial"/>
        </w:rPr>
      </w:pPr>
      <w:r>
        <w:rPr>
          <w:color w:val="000000"/>
        </w:rPr>
        <w:t>O custo estimado total da contratação é de R$ 58.149,28 (Cinquenta e oito mil, cento e quarenta e nove reais e vinte oito centavos), conforme custos unitários apostos na tabela acima</w:t>
      </w:r>
      <w:r>
        <w:rPr/>
        <w:t>.</w:t>
      </w:r>
    </w:p>
    <w:p>
      <w:pPr>
        <w:pStyle w:val="Nivel01"/>
        <w:numPr>
          <w:ilvl w:val="0"/>
          <w:numId w:val="4"/>
        </w:numPr>
        <w:ind w:hanging="0" w:left="0"/>
        <w:rPr>
          <w:rFonts w:ascii="Arial" w:hAnsi="Arial"/>
        </w:rPr>
      </w:pPr>
      <w:r>
        <w:rPr/>
        <w:t>ADEQUAÇÃO ORÇAMENTÁRIA</w:t>
      </w:r>
    </w:p>
    <w:p>
      <w:pPr>
        <w:pStyle w:val="Nivel2"/>
        <w:numPr>
          <w:ilvl w:val="1"/>
          <w:numId w:val="237"/>
        </w:numPr>
        <w:ind w:hanging="0" w:left="0"/>
        <w:rPr>
          <w:rFonts w:ascii="Arial" w:hAnsi="Arial"/>
        </w:rPr>
      </w:pPr>
      <w:r>
        <w:rPr/>
        <w:t>As despesas decorrentes da presente contratação correrão à conta de recursos específicos consignados no Orçamento Geral da União.</w:t>
      </w:r>
    </w:p>
    <w:p>
      <w:pPr>
        <w:pStyle w:val="Nivel2"/>
        <w:numPr>
          <w:ilvl w:val="1"/>
          <w:numId w:val="238"/>
        </w:numPr>
        <w:ind w:hanging="0" w:left="0"/>
        <w:rPr>
          <w:rFonts w:ascii="Arial" w:hAnsi="Arial"/>
        </w:rPr>
      </w:pPr>
      <w:r>
        <w:rPr/>
        <w:t>A contratação será atendida pela seguinte dotação:</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Gestão/Unidade: [...];</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Fonte de Recursos: [...];</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Programa de Trabalho: [...];</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Elemento de Despesa: [...];</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Plano Interno: [...];</w:t>
      </w:r>
    </w:p>
    <w:p>
      <w:pPr>
        <w:pStyle w:val="Nvel2-Red"/>
        <w:numPr>
          <w:ilvl w:val="0"/>
          <w:numId w:val="0"/>
        </w:numPr>
        <w:ind w:hanging="0" w:left="0"/>
        <w:rPr>
          <w:rFonts w:ascii="Arial" w:hAnsi="Arial"/>
        </w:rPr>
      </w:pPr>
      <w:r>
        <w:rPr/>
      </w:r>
      <w:bookmarkEnd w:id="0"/>
    </w:p>
    <w:p>
      <w:pPr>
        <w:pStyle w:val="Normal"/>
        <w:spacing w:lineRule="auto" w:line="276" w:before="0" w:after="120"/>
        <w:ind w:hanging="0" w:right="-15"/>
        <w:jc w:val="right"/>
        <w:rPr>
          <w:color w:val="000000"/>
        </w:rPr>
      </w:pPr>
      <w:r>
        <w:rPr>
          <w:rFonts w:eastAsia="Times New Roman" w:cs="Times New Roman" w:ascii="Times New Roman" w:hAnsi="Times New Roman"/>
          <w:color w:val="000000"/>
          <w:sz w:val="24"/>
          <w:szCs w:val="24"/>
        </w:rPr>
        <w:t>Paracambi – Rio de Janeiro, 18 de março de 2025.</w:t>
      </w:r>
    </w:p>
    <w:p>
      <w:pPr>
        <w:pStyle w:val="Normal"/>
        <w:spacing w:lineRule="auto" w:line="276" w:before="0" w:after="120"/>
        <w:ind w:hanging="0" w:right="-15"/>
        <w:jc w:val="right"/>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ivel2"/>
        <w:numPr>
          <w:ilvl w:val="0"/>
          <w:numId w:val="0"/>
        </w:numPr>
        <w:ind w:hanging="0" w:left="0"/>
        <w:rPr>
          <w:rFonts w:ascii="Arial" w:hAnsi="Arial"/>
        </w:rPr>
      </w:pPr>
      <w:r>
        <w:rPr/>
      </w:r>
    </w:p>
    <w:p>
      <w:pPr>
        <w:pStyle w:val="Normal"/>
        <w:spacing w:lineRule="auto" w:line="312" w:before="120" w:after="288"/>
        <w:ind w:hanging="0" w:left="357"/>
        <w:jc w:val="center"/>
        <w:rPr>
          <w:rFonts w:ascii="Arial" w:hAnsi="Arial" w:eastAsia="Arial" w:cs="Arial"/>
          <w:sz w:val="20"/>
          <w:szCs w:val="20"/>
        </w:rPr>
      </w:pPr>
      <w:r>
        <w:rPr>
          <w:rFonts w:eastAsia="Arial" w:cs="Arial" w:ascii="Arial" w:hAnsi="Arial"/>
          <w:sz w:val="20"/>
          <w:szCs w:val="20"/>
        </w:rPr>
      </w:r>
    </w:p>
    <w:p>
      <w:pPr>
        <w:pStyle w:val="Normal"/>
        <w:spacing w:lineRule="auto" w:line="312" w:before="120" w:after="288"/>
        <w:ind w:hanging="0" w:left="357"/>
        <w:jc w:val="center"/>
        <w:rPr>
          <w:rFonts w:ascii="Arial" w:hAnsi="Arial" w:eastAsia="Arial" w:cs="Arial"/>
          <w:sz w:val="20"/>
          <w:szCs w:val="20"/>
        </w:rPr>
      </w:pPr>
      <w:r>
        <w:rPr>
          <w:rFonts w:eastAsia="Arial" w:cs="Arial" w:ascii="Arial" w:hAnsi="Arial"/>
          <w:sz w:val="20"/>
          <w:szCs w:val="20"/>
        </w:rPr>
      </w:r>
    </w:p>
    <w:p>
      <w:pPr>
        <w:pStyle w:val="Normal"/>
        <w:spacing w:lineRule="auto" w:line="312" w:before="120" w:after="288"/>
        <w:ind w:hanging="0" w:left="357"/>
        <w:jc w:val="center"/>
        <w:rPr>
          <w:rFonts w:ascii="Arial" w:hAnsi="Arial" w:eastAsia="Arial" w:cs="Arial"/>
          <w:sz w:val="20"/>
          <w:szCs w:val="20"/>
        </w:rPr>
      </w:pPr>
      <w:r>
        <w:rPr>
          <w:rFonts w:eastAsia="Arial" w:cs="Arial" w:ascii="Arial" w:hAnsi="Arial"/>
          <w:sz w:val="20"/>
          <w:szCs w:val="20"/>
        </w:rPr>
      </w:r>
    </w:p>
    <w:p>
      <w:pPr>
        <w:pStyle w:val="Normal"/>
        <w:spacing w:before="0" w:after="0"/>
        <w:contextualSpacing/>
        <w:jc w:val="center"/>
        <w:rPr>
          <w:color w:val="000000"/>
        </w:rPr>
      </w:pPr>
      <w:r>
        <w:rPr>
          <w:rFonts w:eastAsia="Times New Roman" w:cs="Times New Roman" w:ascii="Times New Roman" w:hAnsi="Times New Roman"/>
          <w:b/>
          <w:bCs/>
          <w:color w:val="000000"/>
          <w:sz w:val="22"/>
          <w:szCs w:val="22"/>
        </w:rPr>
        <w:t>MARCELO BALTHAZAR DA SILVA FILHO</w:t>
      </w:r>
      <w:r>
        <w:rPr>
          <w:rFonts w:eastAsia="Times New Roman" w:cs="Times New Roman" w:ascii="Times New Roman" w:hAnsi="Times New Roman"/>
          <w:color w:val="000000"/>
          <w:sz w:val="24"/>
          <w:szCs w:val="24"/>
        </w:rPr>
        <w:t xml:space="preserve"> – </w:t>
      </w:r>
      <w:r>
        <w:rPr>
          <w:rFonts w:eastAsia="Times New Roman" w:cs="Times New Roman" w:ascii="Times New Roman" w:hAnsi="Times New Roman"/>
          <w:b/>
          <w:bCs/>
          <w:color w:val="000000"/>
          <w:sz w:val="24"/>
          <w:szCs w:val="24"/>
        </w:rPr>
        <w:t>1° Ten</w:t>
      </w:r>
    </w:p>
    <w:p>
      <w:pPr>
        <w:pStyle w:val="Normal"/>
        <w:spacing w:lineRule="auto" w:line="276"/>
        <w:ind w:hanging="0" w:right="-15"/>
        <w:jc w:val="center"/>
        <w:rPr>
          <w:color w:val="000000"/>
        </w:rPr>
      </w:pPr>
      <w:r>
        <w:rPr>
          <w:rFonts w:eastAsia="Times New Roman" w:cs="Times New Roman" w:ascii="Times New Roman" w:hAnsi="Times New Roman"/>
          <w:color w:val="000000"/>
          <w:sz w:val="24"/>
          <w:szCs w:val="24"/>
        </w:rPr>
        <w:t>Responsável pelo Termo de Referência</w:t>
      </w:r>
    </w:p>
    <w:p>
      <w:pPr>
        <w:pStyle w:val="Normal"/>
        <w:spacing w:lineRule="auto" w:line="276"/>
        <w:ind w:hanging="0" w:right="-15"/>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76"/>
        <w:ind w:hanging="0" w:right="-15"/>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76"/>
        <w:ind w:hanging="0" w:right="-15"/>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rPr>
          <w:color w:val="000000"/>
        </w:rPr>
      </w:pPr>
      <w:r>
        <w:rPr>
          <w:rFonts w:eastAsia="Times New Roman" w:cs="Times New Roman" w:ascii="Times New Roman" w:hAnsi="Times New Roman"/>
          <w:color w:val="000000"/>
          <w:sz w:val="24"/>
          <w:szCs w:val="24"/>
        </w:rPr>
        <w:t>Nos termos do disposto da Lei 14.133/2021, aprovo o presente Termo de Referência.</w:t>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jc w:val="center"/>
        <w:rPr>
          <w:color w:val="000000"/>
        </w:rPr>
      </w:pPr>
      <w:r>
        <w:rPr>
          <w:rFonts w:eastAsia="Times New Roman" w:cs="Times New Roman" w:ascii="Times New Roman" w:hAnsi="Times New Roman"/>
          <w:b/>
          <w:bCs/>
          <w:color w:val="000000"/>
          <w:sz w:val="24"/>
          <w:szCs w:val="24"/>
        </w:rPr>
        <w:t>ROBERTO DA SILVA DOS SANTOS – Ten Cel</w:t>
      </w:r>
    </w:p>
    <w:p>
      <w:pPr>
        <w:pStyle w:val="Normal"/>
        <w:jc w:val="center"/>
        <w:rPr>
          <w:color w:val="000000"/>
        </w:rPr>
      </w:pPr>
      <w:r>
        <w:rPr>
          <w:rFonts w:eastAsia="Times New Roman" w:cs="Times New Roman" w:ascii="Times New Roman" w:hAnsi="Times New Roman"/>
          <w:color w:val="000000"/>
          <w:sz w:val="24"/>
          <w:szCs w:val="24"/>
        </w:rPr>
        <w:t>Ordenador de Despesas do Depósito Central de Munição</w:t>
      </w:r>
    </w:p>
    <w:p>
      <w:pPr>
        <w:pStyle w:val="Normal"/>
        <w:jc w:val="center"/>
        <w:rPr>
          <w:color w:val="000000"/>
        </w:rPr>
      </w:pPr>
      <w:r>
        <w:rPr>
          <w:rFonts w:eastAsia="Times New Roman" w:cs="Times New Roman" w:ascii="Times New Roman" w:hAnsi="Times New Roman"/>
          <w:b/>
          <w:bCs/>
          <w:color w:val="000000"/>
          <w:sz w:val="24"/>
          <w:szCs w:val="24"/>
        </w:rPr>
        <w:t>Autoridade competente</w:t>
      </w:r>
    </w:p>
    <w:sectPr>
      <w:headerReference w:type="even" r:id="rId10"/>
      <w:headerReference w:type="default" r:id="rId11"/>
      <w:headerReference w:type="first" r:id="rId12"/>
      <w:footerReference w:type="even" r:id="rId13"/>
      <w:footerReference w:type="default" r:id="rId14"/>
      <w:footerReference w:type="first" r:id="rId15"/>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MT">
    <w:charset w:val="00"/>
    <w:family w:val="roman"/>
    <w:pitch w:val="variable"/>
  </w:font>
  <w:font w:name="Rawline">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88321571"/>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2"/>
          </w:rPr>
        </w:pPr>
        <w:r>
          <w:rPr>
            <w:color w:themeColor="text1" w:themeTint="80" w:val="7F7F7F"/>
            <w:spacing w:val="60"/>
            <w:sz w:val="22"/>
            <w:szCs w:val="22"/>
          </w:rPr>
          <w:tab/>
          <w:tab/>
        </w:r>
        <w:r>
          <w:rPr>
            <w:color w:themeColor="text1" w:themeTint="a6" w:val="595959"/>
            <w:spacing w:val="60"/>
            <w:sz w:val="22"/>
            <w:szCs w:val="22"/>
          </w:rPr>
          <w:t>Página</w:t>
        </w:r>
        <w:r>
          <w:rPr>
            <w:color w:themeColor="text1" w:themeTint="a6" w:val="595959"/>
            <w:sz w:val="22"/>
            <w:szCs w:val="22"/>
          </w:rPr>
          <w:t xml:space="preserve"> </w:t>
        </w:r>
        <w:r>
          <w:rPr>
            <w:color w:themeColor="text1" w:themeTint="a6" w:val="595959"/>
            <w:sz w:val="22"/>
            <w:szCs w:val="22"/>
            <w:shd w:fill="E6E6E6" w:val="clear"/>
          </w:rPr>
          <w:fldChar w:fldCharType="begin"/>
        </w:r>
        <w:r>
          <w:rPr>
            <w:sz w:val="22"/>
            <w:shd w:fill="E6E6E6" w:val="clear"/>
            <w:szCs w:val="22"/>
            <w:color w:themeColor="text1" w:themeTint="a6" w:val="595959"/>
          </w:rPr>
          <w:instrText xml:space="preserve"> PAGE </w:instrText>
        </w:r>
        <w:r>
          <w:rPr>
            <w:sz w:val="22"/>
            <w:shd w:fill="E6E6E6" w:val="clear"/>
            <w:szCs w:val="22"/>
            <w:color w:themeColor="text1" w:themeTint="a6" w:val="595959"/>
          </w:rPr>
          <w:fldChar w:fldCharType="separate"/>
        </w:r>
        <w:r>
          <w:rPr>
            <w:sz w:val="22"/>
            <w:shd w:fill="E6E6E6" w:val="clear"/>
            <w:szCs w:val="22"/>
            <w:color w:themeColor="text1" w:themeTint="a6" w:val="595959"/>
          </w:rPr>
          <w:t>12</w:t>
        </w:r>
        <w:r>
          <w:rPr>
            <w:sz w:val="22"/>
            <w:shd w:fill="E6E6E6" w:val="clear"/>
            <w:szCs w:val="22"/>
            <w:color w:themeColor="text1" w:themeTint="a6" w:val="595959"/>
          </w:rPr>
          <w:fldChar w:fldCharType="end"/>
        </w:r>
        <w:r>
          <w:rPr>
            <w:color w:themeColor="text1" w:themeTint="a6" w:val="595959"/>
            <w:sz w:val="22"/>
            <w:szCs w:val="22"/>
          </w:rPr>
          <w:t xml:space="preserve"> | </w:t>
        </w:r>
        <w:r>
          <w:rPr>
            <w:color w:themeColor="text1" w:themeTint="a6" w:val="595959"/>
            <w:sz w:val="22"/>
            <w:szCs w:val="22"/>
            <w:shd w:fill="E6E6E6" w:val="clear"/>
          </w:rPr>
          <w:fldChar w:fldCharType="begin"/>
        </w:r>
        <w:r>
          <w:rPr>
            <w:sz w:val="22"/>
            <w:shd w:fill="E6E6E6" w:val="clear"/>
            <w:szCs w:val="22"/>
            <w:color w:themeColor="text1" w:themeTint="a6" w:val="595959"/>
          </w:rPr>
          <w:instrText xml:space="preserve"> NUMPAGES </w:instrText>
        </w:r>
        <w:r>
          <w:rPr>
            <w:sz w:val="22"/>
            <w:shd w:fill="E6E6E6" w:val="clear"/>
            <w:szCs w:val="22"/>
            <w:color w:themeColor="text1" w:themeTint="a6" w:val="595959"/>
          </w:rPr>
          <w:fldChar w:fldCharType="separate"/>
        </w:r>
        <w:r>
          <w:rPr>
            <w:sz w:val="22"/>
            <w:shd w:fill="E6E6E6" w:val="clear"/>
            <w:szCs w:val="22"/>
            <w:color w:themeColor="text1" w:themeTint="a6" w:val="595959"/>
          </w:rPr>
          <w:t>12</w:t>
        </w:r>
        <w:r>
          <w:rPr>
            <w:sz w:val="22"/>
            <w:shd w:fill="E6E6E6" w:val="clear"/>
            <w:szCs w:val="22"/>
            <w:color w:themeColor="text1" w:themeTint="a6" w:val="595959"/>
          </w:rPr>
          <w:fldChar w:fldCharType="end"/>
        </w:r>
      </w:p>
      <w:p>
        <w:pPr>
          <w:pStyle w:val="Footer"/>
          <w:rPr>
            <w:rFonts w:ascii="Rawline" w:hAnsi="Rawline" w:cs="Arial"/>
            <w:sz w:val="12"/>
          </w:rPr>
        </w:pPr>
        <w:r>
          <w:rPr>
            <w:rFonts w:cs="Arial" w:ascii="Rawline" w:hAnsi="Rawline"/>
            <w:sz w:val="12"/>
          </w:rPr>
          <w:t>Câmara Nacional de Modelos de Licitações e Contratos da Consultoria-Geral da União</w:t>
        </w:r>
      </w:p>
      <w:p>
        <w:pPr>
          <w:pStyle w:val="Footer"/>
          <w:rPr>
            <w:rFonts w:ascii="Rawline" w:hAnsi="Rawline" w:cs="Arial"/>
            <w:sz w:val="12"/>
          </w:rPr>
        </w:pPr>
        <w:r>
          <w:rPr>
            <w:rFonts w:cs="Arial" w:ascii="Rawline" w:hAnsi="Rawline"/>
            <w:sz w:val="12"/>
          </w:rPr>
          <w:t>Atualização: dezembro/2023</w:t>
        </w:r>
      </w:p>
      <w:p>
        <w:pPr>
          <w:pStyle w:val="Footer"/>
          <w:rPr>
            <w:rFonts w:ascii="Rawline" w:hAnsi="Rawline"/>
            <w:color w:themeColor="text2" w:themeShade="80" w:val="0F243E"/>
            <w:sz w:val="22"/>
            <w:szCs w:val="22"/>
          </w:rPr>
        </w:pPr>
        <w:r>
          <w:rPr>
            <w:rFonts w:cs="Arial" w:ascii="Rawline" w:hAnsi="Rawline"/>
            <w:sz w:val="12"/>
            <w:szCs w:val="12"/>
          </w:rPr>
          <w:t>Termo de Referência Aquisições – Licitação - Modelo para Pregão Eletrônico</w:t>
          <w:tab/>
          <w:tab/>
        </w:r>
      </w:p>
      <w:p>
        <w:pPr>
          <w:pStyle w:val="Footer"/>
          <w:rPr>
            <w:rFonts w:ascii="Rawline" w:hAnsi="Rawline"/>
            <w:sz w:val="12"/>
            <w:szCs w:val="12"/>
          </w:rPr>
        </w:pPr>
        <w:r>
          <w:rPr>
            <w:rFonts w:ascii="Rawline" w:hAnsi="Rawline"/>
            <w:sz w:val="12"/>
            <w:szCs w:val="12"/>
          </w:rPr>
          <w:t>Aprovado pela Secretaria de Gestão.</w:t>
        </w:r>
      </w:p>
      <w:p>
        <w:pPr>
          <w:pStyle w:val="Footer"/>
          <w:rPr>
            <w:rFonts w:ascii="Rawline" w:hAnsi="Rawline"/>
          </w:rPr>
        </w:pPr>
        <w:r>
          <w:rPr>
            <w:rFonts w:ascii="Rawline" w:hAnsi="Rawline"/>
            <w:sz w:val="12"/>
            <w:szCs w:val="12"/>
          </w:rPr>
          <w:t>Identidade visual pela Secretaria de Gestão (versão dezembro/2022)</w:t>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88321571"/>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2"/>
          </w:rPr>
        </w:pPr>
        <w:r>
          <w:rPr>
            <w:color w:themeColor="text1" w:themeTint="80" w:val="7F7F7F"/>
            <w:spacing w:val="60"/>
            <w:sz w:val="22"/>
            <w:szCs w:val="22"/>
          </w:rPr>
          <w:tab/>
          <w:tab/>
        </w:r>
        <w:r>
          <w:rPr>
            <w:color w:themeColor="text1" w:themeTint="a6" w:val="595959"/>
            <w:spacing w:val="60"/>
            <w:sz w:val="22"/>
            <w:szCs w:val="22"/>
          </w:rPr>
          <w:t>Página</w:t>
        </w:r>
        <w:r>
          <w:rPr>
            <w:color w:themeColor="text1" w:themeTint="a6" w:val="595959"/>
            <w:sz w:val="22"/>
            <w:szCs w:val="22"/>
          </w:rPr>
          <w:t xml:space="preserve"> </w:t>
        </w:r>
        <w:r>
          <w:rPr>
            <w:color w:themeColor="text1" w:themeTint="a6" w:val="595959"/>
            <w:sz w:val="22"/>
            <w:szCs w:val="22"/>
            <w:shd w:fill="E6E6E6" w:val="clear"/>
          </w:rPr>
          <w:fldChar w:fldCharType="begin"/>
        </w:r>
        <w:r>
          <w:rPr>
            <w:sz w:val="22"/>
            <w:shd w:fill="E6E6E6" w:val="clear"/>
            <w:szCs w:val="22"/>
            <w:color w:themeColor="text1" w:themeTint="a6" w:val="595959"/>
          </w:rPr>
          <w:instrText xml:space="preserve"> PAGE </w:instrText>
        </w:r>
        <w:r>
          <w:rPr>
            <w:sz w:val="22"/>
            <w:shd w:fill="E6E6E6" w:val="clear"/>
            <w:szCs w:val="22"/>
            <w:color w:themeColor="text1" w:themeTint="a6" w:val="595959"/>
          </w:rPr>
          <w:fldChar w:fldCharType="separate"/>
        </w:r>
        <w:r>
          <w:rPr>
            <w:sz w:val="22"/>
            <w:shd w:fill="E6E6E6" w:val="clear"/>
            <w:szCs w:val="22"/>
            <w:color w:themeColor="text1" w:themeTint="a6" w:val="595959"/>
          </w:rPr>
          <w:t>12</w:t>
        </w:r>
        <w:r>
          <w:rPr>
            <w:sz w:val="22"/>
            <w:shd w:fill="E6E6E6" w:val="clear"/>
            <w:szCs w:val="22"/>
            <w:color w:themeColor="text1" w:themeTint="a6" w:val="595959"/>
          </w:rPr>
          <w:fldChar w:fldCharType="end"/>
        </w:r>
        <w:r>
          <w:rPr>
            <w:color w:themeColor="text1" w:themeTint="a6" w:val="595959"/>
            <w:sz w:val="22"/>
            <w:szCs w:val="22"/>
          </w:rPr>
          <w:t xml:space="preserve"> | </w:t>
        </w:r>
        <w:r>
          <w:rPr>
            <w:color w:themeColor="text1" w:themeTint="a6" w:val="595959"/>
            <w:sz w:val="22"/>
            <w:szCs w:val="22"/>
            <w:shd w:fill="E6E6E6" w:val="clear"/>
          </w:rPr>
          <w:fldChar w:fldCharType="begin"/>
        </w:r>
        <w:r>
          <w:rPr>
            <w:sz w:val="22"/>
            <w:shd w:fill="E6E6E6" w:val="clear"/>
            <w:szCs w:val="22"/>
            <w:color w:themeColor="text1" w:themeTint="a6" w:val="595959"/>
          </w:rPr>
          <w:instrText xml:space="preserve"> NUMPAGES </w:instrText>
        </w:r>
        <w:r>
          <w:rPr>
            <w:sz w:val="22"/>
            <w:shd w:fill="E6E6E6" w:val="clear"/>
            <w:szCs w:val="22"/>
            <w:color w:themeColor="text1" w:themeTint="a6" w:val="595959"/>
          </w:rPr>
          <w:fldChar w:fldCharType="separate"/>
        </w:r>
        <w:r>
          <w:rPr>
            <w:sz w:val="22"/>
            <w:shd w:fill="E6E6E6" w:val="clear"/>
            <w:szCs w:val="22"/>
            <w:color w:themeColor="text1" w:themeTint="a6" w:val="595959"/>
          </w:rPr>
          <w:t>12</w:t>
        </w:r>
        <w:r>
          <w:rPr>
            <w:sz w:val="22"/>
            <w:shd w:fill="E6E6E6" w:val="clear"/>
            <w:szCs w:val="22"/>
            <w:color w:themeColor="text1" w:themeTint="a6" w:val="595959"/>
          </w:rPr>
          <w:fldChar w:fldCharType="end"/>
        </w:r>
      </w:p>
      <w:p>
        <w:pPr>
          <w:pStyle w:val="Footer"/>
          <w:rPr>
            <w:rFonts w:ascii="Rawline" w:hAnsi="Rawline" w:cs="Arial"/>
            <w:sz w:val="12"/>
          </w:rPr>
        </w:pPr>
        <w:r>
          <w:rPr>
            <w:rFonts w:cs="Arial" w:ascii="Rawline" w:hAnsi="Rawline"/>
            <w:sz w:val="12"/>
          </w:rPr>
          <w:t>Câmara Nacional de Modelos de Licitações e Contratos da Consultoria-Geral da União</w:t>
        </w:r>
      </w:p>
      <w:p>
        <w:pPr>
          <w:pStyle w:val="Footer"/>
          <w:rPr>
            <w:rFonts w:ascii="Rawline" w:hAnsi="Rawline" w:cs="Arial"/>
            <w:sz w:val="12"/>
          </w:rPr>
        </w:pPr>
        <w:r>
          <w:rPr>
            <w:rFonts w:cs="Arial" w:ascii="Rawline" w:hAnsi="Rawline"/>
            <w:sz w:val="12"/>
          </w:rPr>
          <w:t>Atualização: dezembro/2023</w:t>
        </w:r>
      </w:p>
      <w:p>
        <w:pPr>
          <w:pStyle w:val="Footer"/>
          <w:rPr>
            <w:rFonts w:ascii="Rawline" w:hAnsi="Rawline"/>
            <w:color w:themeColor="text2" w:themeShade="80" w:val="0F243E"/>
            <w:sz w:val="22"/>
            <w:szCs w:val="22"/>
          </w:rPr>
        </w:pPr>
        <w:r>
          <w:rPr>
            <w:rFonts w:cs="Arial" w:ascii="Rawline" w:hAnsi="Rawline"/>
            <w:sz w:val="12"/>
            <w:szCs w:val="12"/>
          </w:rPr>
          <w:t>Termo de Referência Aquisições – Licitação - Modelo para Pregão Eletrônico</w:t>
          <w:tab/>
          <w:tab/>
        </w:r>
      </w:p>
      <w:p>
        <w:pPr>
          <w:pStyle w:val="Footer"/>
          <w:rPr>
            <w:rFonts w:ascii="Rawline" w:hAnsi="Rawline"/>
            <w:sz w:val="12"/>
            <w:szCs w:val="12"/>
          </w:rPr>
        </w:pPr>
        <w:r>
          <w:rPr>
            <w:rFonts w:ascii="Rawline" w:hAnsi="Rawline"/>
            <w:sz w:val="12"/>
            <w:szCs w:val="12"/>
          </w:rPr>
          <w:t>Aprovado pela Secretaria de Gestão.</w:t>
        </w:r>
      </w:p>
      <w:p>
        <w:pPr>
          <w:pStyle w:val="Footer"/>
          <w:rPr>
            <w:rFonts w:ascii="Rawline" w:hAnsi="Rawline"/>
          </w:rPr>
        </w:pPr>
        <w:r>
          <w:rPr>
            <w:rFonts w:ascii="Rawline" w:hAnsi="Rawline"/>
            <w:sz w:val="12"/>
            <w:szCs w:val="12"/>
          </w:rPr>
          <w:t>Identidade visual pela Secretaria de Gestão (versão dezembro/2022)</w:t>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TERMO DE REFERÊNCIA - AQUISIÇÕES - LICITAÇÃO</w:t>
    </w:r>
  </w:p>
  <w:p>
    <w:pPr>
      <w:pStyle w:val="Header"/>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TERMO DE REFERÊNCIA - AQUISIÇÕES - LICITAÇÃO</w:t>
    </w:r>
  </w:p>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4"/>
  </w:num>
  <w:num w:numId="124">
    <w:abstractNumId w:val="4"/>
  </w:num>
  <w:num w:numId="125">
    <w:abstractNumId w:val="4"/>
  </w:num>
  <w:num w:numId="126">
    <w:abstractNumId w:val="4"/>
  </w:num>
  <w:num w:numId="127">
    <w:abstractNumId w:val="4"/>
  </w:num>
  <w:num w:numId="128">
    <w:abstractNumId w:val="4"/>
  </w:num>
  <w:num w:numId="129">
    <w:abstractNumId w:val="4"/>
  </w:num>
  <w:num w:numId="130">
    <w:abstractNumId w:val="4"/>
  </w:num>
  <w:num w:numId="131">
    <w:abstractNumId w:val="4"/>
  </w:num>
  <w:num w:numId="132">
    <w:abstractNumId w:val="4"/>
  </w:num>
  <w:num w:numId="133">
    <w:abstractNumId w:val="4"/>
  </w:num>
  <w:num w:numId="134">
    <w:abstractNumId w:val="4"/>
  </w:num>
  <w:num w:numId="135">
    <w:abstractNumId w:val="4"/>
  </w:num>
  <w:num w:numId="136">
    <w:abstractNumId w:val="4"/>
  </w:num>
  <w:num w:numId="137">
    <w:abstractNumId w:val="4"/>
  </w:num>
  <w:num w:numId="138">
    <w:abstractNumId w:val="4"/>
  </w:num>
  <w:num w:numId="139">
    <w:abstractNumId w:val="4"/>
  </w:num>
  <w:num w:numId="140">
    <w:abstractNumId w:val="4"/>
  </w:num>
  <w:num w:numId="141">
    <w:abstractNumId w:val="4"/>
  </w:num>
  <w:num w:numId="142">
    <w:abstractNumId w:val="4"/>
  </w:num>
  <w:num w:numId="143">
    <w:abstractNumId w:val="4"/>
  </w:num>
  <w:num w:numId="144">
    <w:abstractNumId w:val="4"/>
  </w:num>
  <w:num w:numId="145">
    <w:abstractNumId w:val="4"/>
  </w:num>
  <w:num w:numId="146">
    <w:abstractNumId w:val="4"/>
  </w:num>
  <w:num w:numId="147">
    <w:abstractNumId w:val="4"/>
  </w:num>
  <w:num w:numId="148">
    <w:abstractNumId w:val="4"/>
  </w:num>
  <w:num w:numId="149">
    <w:abstractNumId w:val="4"/>
  </w:num>
  <w:num w:numId="150">
    <w:abstractNumId w:val="4"/>
  </w:num>
  <w:num w:numId="151">
    <w:abstractNumId w:val="4"/>
  </w:num>
  <w:num w:numId="152">
    <w:abstractNumId w:val="4"/>
  </w:num>
  <w:num w:numId="153">
    <w:abstractNumId w:val="4"/>
  </w:num>
  <w:num w:numId="154">
    <w:abstractNumId w:val="4"/>
  </w:num>
  <w:num w:numId="155">
    <w:abstractNumId w:val="4"/>
  </w:num>
  <w:num w:numId="156">
    <w:abstractNumId w:val="4"/>
  </w:num>
  <w:num w:numId="157">
    <w:abstractNumId w:val="4"/>
  </w:num>
  <w:num w:numId="158">
    <w:abstractNumId w:val="4"/>
  </w:num>
  <w:num w:numId="159">
    <w:abstractNumId w:val="4"/>
  </w:num>
  <w:num w:numId="160">
    <w:abstractNumId w:val="4"/>
  </w:num>
  <w:num w:numId="161">
    <w:abstractNumId w:val="4"/>
  </w:num>
  <w:num w:numId="162">
    <w:abstractNumId w:val="4"/>
  </w:num>
  <w:num w:numId="163">
    <w:abstractNumId w:val="4"/>
  </w:num>
  <w:num w:numId="164">
    <w:abstractNumId w:val="4"/>
  </w:num>
  <w:num w:numId="165">
    <w:abstractNumId w:val="4"/>
  </w:num>
  <w:num w:numId="166">
    <w:abstractNumId w:val="4"/>
  </w:num>
  <w:num w:numId="167">
    <w:abstractNumId w:val="4"/>
  </w:num>
  <w:num w:numId="168">
    <w:abstractNumId w:val="4"/>
  </w:num>
  <w:num w:numId="169">
    <w:abstractNumId w:val="4"/>
  </w:num>
  <w:num w:numId="170">
    <w:abstractNumId w:val="4"/>
  </w:num>
  <w:num w:numId="171">
    <w:abstractNumId w:val="4"/>
  </w:num>
  <w:num w:numId="172">
    <w:abstractNumId w:val="4"/>
  </w:num>
  <w:num w:numId="173">
    <w:abstractNumId w:val="4"/>
  </w:num>
  <w:num w:numId="174">
    <w:abstractNumId w:val="4"/>
  </w:num>
  <w:num w:numId="175">
    <w:abstractNumId w:val="4"/>
  </w:num>
  <w:num w:numId="176">
    <w:abstractNumId w:val="4"/>
  </w:num>
  <w:num w:numId="177">
    <w:abstractNumId w:val="4"/>
  </w:num>
  <w:num w:numId="178">
    <w:abstractNumId w:val="4"/>
  </w:num>
  <w:num w:numId="179">
    <w:abstractNumId w:val="4"/>
  </w:num>
  <w:num w:numId="180">
    <w:abstractNumId w:val="4"/>
  </w:num>
  <w:num w:numId="181">
    <w:abstractNumId w:val="4"/>
  </w:num>
  <w:num w:numId="182">
    <w:abstractNumId w:val="4"/>
  </w:num>
  <w:num w:numId="183">
    <w:abstractNumId w:val="4"/>
  </w:num>
  <w:num w:numId="184">
    <w:abstractNumId w:val="4"/>
  </w:num>
  <w:num w:numId="185">
    <w:abstractNumId w:val="4"/>
  </w:num>
  <w:num w:numId="186">
    <w:abstractNumId w:val="4"/>
  </w:num>
  <w:num w:numId="187">
    <w:abstractNumId w:val="4"/>
  </w:num>
  <w:num w:numId="188">
    <w:abstractNumId w:val="4"/>
  </w:num>
  <w:num w:numId="189">
    <w:abstractNumId w:val="4"/>
  </w:num>
  <w:num w:numId="190">
    <w:abstractNumId w:val="4"/>
  </w:num>
  <w:num w:numId="191">
    <w:abstractNumId w:val="4"/>
  </w:num>
  <w:num w:numId="192">
    <w:abstractNumId w:val="4"/>
  </w:num>
  <w:num w:numId="193">
    <w:abstractNumId w:val="4"/>
  </w:num>
  <w:num w:numId="194">
    <w:abstractNumId w:val="4"/>
  </w:num>
  <w:num w:numId="195">
    <w:abstractNumId w:val="4"/>
  </w:num>
  <w:num w:numId="196">
    <w:abstractNumId w:val="4"/>
  </w:num>
  <w:num w:numId="197">
    <w:abstractNumId w:val="4"/>
  </w:num>
  <w:num w:numId="198">
    <w:abstractNumId w:val="4"/>
  </w:num>
  <w:num w:numId="199">
    <w:abstractNumId w:val="4"/>
  </w:num>
  <w:num w:numId="200">
    <w:abstractNumId w:val="4"/>
  </w:num>
  <w:num w:numId="201">
    <w:abstractNumId w:val="4"/>
  </w:num>
  <w:num w:numId="202">
    <w:abstractNumId w:val="4"/>
  </w:num>
  <w:num w:numId="203">
    <w:abstractNumId w:val="4"/>
  </w:num>
  <w:num w:numId="204">
    <w:abstractNumId w:val="4"/>
  </w:num>
  <w:num w:numId="205">
    <w:abstractNumId w:val="4"/>
  </w:num>
  <w:num w:numId="206">
    <w:abstractNumId w:val="4"/>
  </w:num>
  <w:num w:numId="207">
    <w:abstractNumId w:val="4"/>
  </w:num>
  <w:num w:numId="208">
    <w:abstractNumId w:val="4"/>
  </w:num>
  <w:num w:numId="209">
    <w:abstractNumId w:val="4"/>
  </w:num>
  <w:num w:numId="210">
    <w:abstractNumId w:val="4"/>
  </w:num>
  <w:num w:numId="211">
    <w:abstractNumId w:val="4"/>
  </w:num>
  <w:num w:numId="212">
    <w:abstractNumId w:val="4"/>
  </w:num>
  <w:num w:numId="213">
    <w:abstractNumId w:val="4"/>
  </w:num>
  <w:num w:numId="214">
    <w:abstractNumId w:val="4"/>
  </w:num>
  <w:num w:numId="215">
    <w:abstractNumId w:val="4"/>
  </w:num>
  <w:num w:numId="216">
    <w:abstractNumId w:val="4"/>
  </w:num>
  <w:num w:numId="217">
    <w:abstractNumId w:val="4"/>
  </w:num>
  <w:num w:numId="218">
    <w:abstractNumId w:val="4"/>
  </w:num>
  <w:num w:numId="219">
    <w:abstractNumId w:val="4"/>
  </w:num>
  <w:num w:numId="220">
    <w:abstractNumId w:val="4"/>
  </w:num>
  <w:num w:numId="221">
    <w:abstractNumId w:val="4"/>
  </w:num>
  <w:num w:numId="222">
    <w:abstractNumId w:val="4"/>
  </w:num>
  <w:num w:numId="223">
    <w:abstractNumId w:val="4"/>
  </w:num>
  <w:num w:numId="224">
    <w:abstractNumId w:val="4"/>
  </w:num>
  <w:num w:numId="225">
    <w:abstractNumId w:val="4"/>
  </w:num>
  <w:num w:numId="226">
    <w:abstractNumId w:val="4"/>
  </w:num>
  <w:num w:numId="227">
    <w:abstractNumId w:val="4"/>
  </w:num>
  <w:num w:numId="228">
    <w:abstractNumId w:val="4"/>
  </w:num>
  <w:num w:numId="229">
    <w:abstractNumId w:val="4"/>
  </w:num>
  <w:num w:numId="230">
    <w:abstractNumId w:val="4"/>
  </w:num>
  <w:num w:numId="231">
    <w:abstractNumId w:val="4"/>
  </w:num>
  <w:num w:numId="232">
    <w:abstractNumId w:val="4"/>
  </w:num>
  <w:num w:numId="233">
    <w:abstractNumId w:val="4"/>
  </w:num>
  <w:num w:numId="234">
    <w:abstractNumId w:val="4"/>
  </w:num>
  <w:num w:numId="235">
    <w:abstractNumId w:val="4"/>
  </w:num>
  <w:num w:numId="236">
    <w:abstractNumId w:val="4"/>
  </w:num>
  <w:num w:numId="237">
    <w:abstractNumId w:val="4"/>
  </w:num>
  <w:num w:numId="238">
    <w:abstractNumId w:val="4"/>
  </w:num>
</w:numbering>
</file>

<file path=word/settings.xml><?xml version="1.0" encoding="utf-8"?>
<w:settings xmlns:w="http://schemas.openxmlformats.org/wordprocessingml/2006/main">
  <w:zoom w:percent="110"/>
  <w:mirrorMargins/>
  <w:defaultTabStop w:val="708"/>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InternetLink">
    <w:name w:val="Internet Link"/>
    <w:qFormat/>
    <w:rsid w:val="00bf1a7f"/>
    <w:rPr>
      <w:color w:val="000080"/>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Comment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881f44"/>
    <w:rPr>
      <w:rFonts w:ascii="Arial" w:hAnsi="Arial" w:eastAsia=""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da3ef1"/>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84242c"/>
    <w:rPr>
      <w:rFonts w:ascii="Arial" w:hAnsi="Arial" w:eastAsia="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f93d80"/>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da3ef1"/>
    <w:rPr>
      <w:rFonts w:ascii="Arial" w:hAnsi="Arial" w:eastAsia="Arial" w:cs="Arial"/>
      <w:i/>
      <w:iCs/>
      <w:color w:val="FF0000"/>
      <w:lang w:eastAsia="pt-BR"/>
    </w:rPr>
  </w:style>
  <w:style w:type="character" w:styleId="Nivel3Char" w:customStyle="1">
    <w:name w:val="Nivel 3 Char"/>
    <w:basedOn w:val="DefaultParagraphFont"/>
    <w:link w:val="Nivel3"/>
    <w:qFormat/>
    <w:rsid w:val="005d30b6"/>
    <w:rPr>
      <w:rFonts w:ascii="Arial" w:hAnsi="Arial" w:cs="Arial"/>
      <w:color w:val="000000"/>
      <w:lang w:eastAsia="pt-BR"/>
    </w:rPr>
  </w:style>
  <w:style w:type="character" w:styleId="Nvel3-RChar" w:customStyle="1">
    <w:name w:val="Nível 3-R Char"/>
    <w:basedOn w:val="Nivel3Char"/>
    <w:link w:val="Nvel3-R"/>
    <w:qFormat/>
    <w:rsid w:val="00775cfb"/>
    <w:rPr>
      <w:rFonts w:ascii="Arial" w:hAnsi="Arial" w:cs="Arial"/>
      <w:i/>
      <w:iCs/>
      <w:color w:val="FF0000"/>
      <w:lang w:eastAsia="pt-BR"/>
    </w:rPr>
  </w:style>
  <w:style w:type="character" w:styleId="Nvel4-RChar" w:customStyle="1">
    <w:name w:val="Nível 4-R Char"/>
    <w:basedOn w:val="Nivel4Char"/>
    <w:link w:val="Nvel4-R"/>
    <w:qFormat/>
    <w:rsid w:val="00da3ef1"/>
    <w:rPr>
      <w:rFonts w:ascii="Arial" w:hAnsi="Arial" w:cs="Arial"/>
      <w:i/>
      <w:iCs/>
      <w:color w:val="FF0000"/>
      <w:lang w:eastAsia="pt-BR"/>
    </w:rPr>
  </w:style>
  <w:style w:type="character" w:styleId="InternetLink1" w:customStyle="1">
    <w:name w:val="Internet Link1"/>
    <w:basedOn w:val="DefaultParagraphFont"/>
    <w:uiPriority w:val="99"/>
    <w:unhideWhenUsed/>
    <w:qFormat/>
    <w:rsid w:val="00dc41dd"/>
    <w:rPr>
      <w:color w:themeColor="hyperlink" w:val="0000FF"/>
      <w:u w:val="single"/>
    </w:rPr>
  </w:style>
  <w:style w:type="character" w:styleId="Nvel1-SemNumChar" w:customStyle="1">
    <w:name w:val="Nível 1-Sem Num Char"/>
    <w:basedOn w:val="Nivel01Char"/>
    <w:link w:val="Nvel1-SemNum"/>
    <w:qFormat/>
    <w:rsid w:val="00881f44"/>
    <w:rPr>
      <w:rFonts w:ascii="Arial" w:hAnsi="Arial" w:eastAsia="" w:cs="Arial" w:eastAsiaTheme="majorEastAsia"/>
      <w:b/>
      <w:b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findhit" w:customStyle="1">
    <w:name w:val="findhit"/>
    <w:basedOn w:val="DefaultParagraphFont"/>
    <w:qFormat/>
    <w:rsid w:val="00e66cc3"/>
    <w:rPr/>
  </w:style>
  <w:style w:type="character" w:styleId="Nivel3-erroChar" w:customStyle="1">
    <w:name w:val="Nivel 3-erro Char"/>
    <w:basedOn w:val="DefaultParagraphFont"/>
    <w:link w:val="Nivel3-erro"/>
    <w:qFormat/>
    <w:rsid w:val="005b0afb"/>
    <w:rPr>
      <w:rFonts w:ascii="Arial" w:hAnsi="Arial" w:cs="Tahoma"/>
      <w:szCs w:val="24"/>
      <w:lang w:eastAsia="pt-BR"/>
    </w:rPr>
  </w:style>
  <w:style w:type="character" w:styleId="AlteraesChar" w:customStyle="1">
    <w:name w:val="Alterações Char"/>
    <w:basedOn w:val="DefaultParagraphFont"/>
    <w:link w:val="Alteraes"/>
    <w:uiPriority w:val="1"/>
    <w:qFormat/>
    <w:rsid w:val="1414b7f7"/>
    <w:rPr>
      <w:rFonts w:ascii="Arial" w:hAnsi="Arial" w:cs="Arial"/>
      <w:i/>
      <w:iCs/>
      <w:color w:val="0000FF"/>
      <w:lang w:eastAsia="pt-BR"/>
    </w:rPr>
  </w:style>
  <w:style w:type="character" w:styleId="Mention">
    <w:name w:val="Mention"/>
    <w:basedOn w:val="DefaultParagraphFont"/>
    <w:uiPriority w:val="99"/>
    <w:unhideWhenUsed/>
    <w:qFormat/>
    <w:rsid w:val="002804a7"/>
    <w:rPr>
      <w:color w:val="2B579A"/>
      <w:shd w:fill="E6E6E6" w:val="clear"/>
    </w:rPr>
  </w:style>
  <w:style w:type="character" w:styleId="UnresolvedMention">
    <w:name w:val="Unresolved Mention"/>
    <w:basedOn w:val="DefaultParagraphFont"/>
    <w:uiPriority w:val="99"/>
    <w:semiHidden/>
    <w:unhideWhenUsed/>
    <w:qFormat/>
    <w:rsid w:val="00921a92"/>
    <w:rPr>
      <w:color w:val="605E5C"/>
      <w:shd w:fill="E1DFDD" w:val="clear"/>
    </w:rPr>
  </w:style>
  <w:style w:type="character" w:styleId="Nvel1-SemNumPretoChar" w:customStyle="1">
    <w:name w:val="Nível 1-Sem Num Preto Char"/>
    <w:basedOn w:val="Nvel1-SemNumChar"/>
    <w:link w:val="Nvel1-SemNumPreto"/>
    <w:qFormat/>
    <w:rsid w:val="00036ad7"/>
    <w:rPr>
      <w:rFonts w:ascii="Arial" w:hAnsi="Arial" w:eastAsia="" w:cs="Arial" w:eastAsiaTheme="majorEastAsia"/>
      <w:b/>
      <w:bCs/>
      <w:color w:themeColor="text2" w:themeShade="bf" w:val="FF0000"/>
      <w:spacing w:val="5"/>
      <w:kern w:val="2"/>
      <w:sz w:val="52"/>
      <w:szCs w:val="52"/>
      <w:lang w:eastAsia="zh-CN" w:bidi="hi-IN"/>
    </w:rPr>
  </w:style>
  <w:style w:type="character" w:styleId="Marcadores">
    <w:name w:val="Marcadores"/>
    <w:qFormat/>
    <w:rPr>
      <w:rFonts w:ascii="OpenSymbol" w:hAnsi="OpenSymbol" w:eastAsia="OpenSymbol" w:cs="OpenSymbol"/>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InternetLink8">
    <w:name w:val="Internet Link8"/>
    <w:qFormat/>
    <w:rPr>
      <w:color w:val="000080"/>
      <w:u w:val="single"/>
    </w:rPr>
  </w:style>
  <w:style w:type="character" w:styleId="InternetLink9">
    <w:name w:val="Internet Link9"/>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qFormat/>
    <w:pPr/>
    <w:rPr>
      <w:sz w:val="18"/>
      <w:szCs w:val="18"/>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hanging="0"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3"/>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Comment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CommentText"/>
    <w:next w:val="CommentText"/>
    <w:link w:val="AssuntodocomentrioChar"/>
    <w:uiPriority w:val="99"/>
    <w:semiHidden/>
    <w:unhideWhenUsed/>
    <w:qFormat/>
    <w:rsid w:val="00430fdb"/>
    <w:pPr/>
    <w:rPr>
      <w:b/>
      <w:bCs/>
    </w:rPr>
  </w:style>
  <w:style w:type="paragraph" w:styleId="Nivel01" w:customStyle="1">
    <w:name w:val="Nivel 01"/>
    <w:basedOn w:val="Heading1"/>
    <w:next w:val="Normal"/>
    <w:link w:val="Nivel01Char"/>
    <w:autoRedefine/>
    <w:qFormat/>
    <w:rsid w:val="00881f44"/>
    <w:pPr>
      <w:numPr>
        <w:ilvl w:val="0"/>
        <w:numId w:val="4"/>
      </w:numPr>
      <w:tabs>
        <w:tab w:val="clear" w:pos="708"/>
        <w:tab w:val="left" w:pos="567" w:leader="none"/>
      </w:tabs>
      <w:spacing w:lineRule="auto" w:line="276" w:before="240" w:after="120"/>
      <w:ind w:hanging="0" w:left="0"/>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hanging="0" w:left="720"/>
    </w:pPr>
    <w:rPr>
      <w:rFonts w:eastAsia="Times New Roman" w:cs="Ecofont_Spranq_eco_Sans"/>
    </w:rPr>
  </w:style>
  <w:style w:type="paragraph" w:styleId="Nivel2" w:customStyle="1">
    <w:name w:val="Nivel 2"/>
    <w:basedOn w:val="Normal"/>
    <w:link w:val="Nivel2Char"/>
    <w:autoRedefine/>
    <w:qFormat/>
    <w:rsid w:val="0084242c"/>
    <w:pPr>
      <w:numPr>
        <w:ilvl w:val="1"/>
        <w:numId w:val="2"/>
      </w:numPr>
      <w:spacing w:lineRule="auto" w:line="276" w:before="120" w:after="120"/>
      <w:ind w:hanging="0" w:left="0"/>
      <w:jc w:val="both"/>
    </w:pPr>
    <w:rPr>
      <w:rFonts w:ascii="Arial" w:hAnsi="Arial" w:eastAsia="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autoRedefine/>
    <w:qFormat/>
    <w:rsid w:val="005d30b6"/>
    <w:pPr>
      <w:numPr>
        <w:ilvl w:val="2"/>
        <w:numId w:val="2"/>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autoRedefine/>
    <w:qFormat/>
    <w:rsid w:val="00da3ef1"/>
    <w:pPr>
      <w:ind w:hanging="0" w:left="567"/>
    </w:pPr>
    <w:rPr>
      <w:color w:val="auto"/>
    </w:rPr>
  </w:style>
  <w:style w:type="paragraph" w:styleId="Nivel5" w:customStyle="1">
    <w:name w:val="Nivel 5"/>
    <w:basedOn w:val="Nivel4"/>
    <w:autoRedefine/>
    <w:qFormat/>
    <w:rsid w:val="00da3ef1"/>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hanging="0"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f93d80"/>
    <w:pPr>
      <w:spacing w:lineRule="auto" w:line="259" w:before="60" w:after="60"/>
      <w:ind w:hanging="0" w:left="0"/>
      <w:contextualSpacing w:val="false"/>
      <w:jc w:val="center"/>
    </w:pPr>
    <w:rPr>
      <w:rFonts w:ascii="Arial" w:hAnsi="Arial" w:eastAsia="Cambria" w:cs="Arial" w:eastAsiaTheme="minorHAnsi"/>
      <w:b/>
      <w:bCs/>
      <w:i/>
      <w:iCs/>
      <w:color w:val="FF0000"/>
      <w:sz w:val="2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da3ef1"/>
    <w:pPr/>
    <w:rPr>
      <w:i/>
      <w:iCs/>
      <w:color w:val="FF0000"/>
    </w:rPr>
  </w:style>
  <w:style w:type="paragraph" w:styleId="Nvel3-R" w:customStyle="1">
    <w:name w:val="Nível 3-R"/>
    <w:basedOn w:val="Nivel3"/>
    <w:link w:val="Nvel3-RChar"/>
    <w:autoRedefine/>
    <w:qFormat/>
    <w:rsid w:val="00775cfb"/>
    <w:pPr/>
    <w:rPr>
      <w:i/>
      <w:iCs/>
      <w:color w:val="FF0000"/>
    </w:rPr>
  </w:style>
  <w:style w:type="paragraph" w:styleId="Nvel4-R" w:customStyle="1">
    <w:name w:val="Nível 4-R"/>
    <w:basedOn w:val="Nivel4"/>
    <w:link w:val="Nvel4-RChar"/>
    <w:autoRedefine/>
    <w:qFormat/>
    <w:rsid w:val="00da3ef1"/>
    <w:pPr/>
    <w:rPr>
      <w:i/>
      <w:iCs/>
      <w:color w:val="FF0000"/>
    </w:rPr>
  </w:style>
  <w:style w:type="paragraph" w:styleId="Nvel1-SemNum" w:customStyle="1">
    <w:name w:val="Nível 1-Sem Num"/>
    <w:basedOn w:val="Nivel01"/>
    <w:link w:val="Nvel1-SemNumChar"/>
    <w:autoRedefine/>
    <w:qFormat/>
    <w:rsid w:val="00881f44"/>
    <w:pPr>
      <w:numPr>
        <w:ilvl w:val="0"/>
        <w:numId w:val="0"/>
      </w:numPr>
      <w:ind w:hanging="0" w:left="0"/>
      <w:outlineLvl w:val="1"/>
    </w:pPr>
    <w:rPr>
      <w:color w:themeColor="accent1" w:themeShade="bf" w:val="FF0000"/>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hanging="0" w:left="4253" w:right="-17"/>
      <w:jc w:val="both"/>
    </w:pPr>
    <w:rPr>
      <w:rFonts w:ascii="Arial" w:hAnsi="Arial" w:eastAsia="Arial" w:cs="Arial"/>
      <w:bCs/>
      <w:sz w:val="20"/>
      <w:szCs w:val="20"/>
    </w:rPr>
  </w:style>
  <w:style w:type="paragraph" w:styleId="Nivel3-erro" w:customStyle="1">
    <w:name w:val="Nivel 3-erro"/>
    <w:basedOn w:val="Nivel3"/>
    <w:link w:val="Nivel3-erroChar"/>
    <w:qFormat/>
    <w:rsid w:val="005b0afb"/>
    <w:pPr>
      <w:numPr>
        <w:ilvl w:val="2"/>
        <w:numId w:val="1"/>
      </w:numPr>
      <w:spacing w:lineRule="auto" w:line="240"/>
      <w:ind w:hanging="0" w:left="425"/>
    </w:pPr>
    <w:rPr>
      <w:rFonts w:cs="Tahoma"/>
      <w:color w:val="auto"/>
      <w:szCs w:val="24"/>
    </w:rPr>
  </w:style>
  <w:style w:type="paragraph" w:styleId="Alteraes" w:customStyle="1">
    <w:name w:val="Alterações"/>
    <w:basedOn w:val="Normal"/>
    <w:link w:val="AlteraesChar"/>
    <w:uiPriority w:val="1"/>
    <w:qFormat/>
    <w:rsid w:val="1414b7f7"/>
    <w:pPr>
      <w:spacing w:lineRule="auto" w:line="276" w:before="120" w:after="120"/>
      <w:jc w:val="both"/>
      <w:outlineLvl w:val="1"/>
    </w:pPr>
    <w:rPr>
      <w:rFonts w:ascii="Arial" w:hAnsi="Arial" w:cs="Arial"/>
      <w:i/>
      <w:iCs/>
      <w:color w:val="0000FF"/>
      <w:sz w:val="20"/>
      <w:szCs w:val="20"/>
    </w:rPr>
  </w:style>
  <w:style w:type="paragraph" w:styleId="Nvel1-SemNumPreto" w:customStyle="1">
    <w:name w:val="Nível 1-Sem Num Preto"/>
    <w:basedOn w:val="Nvel1-SemNum"/>
    <w:link w:val="Nvel1-SemNumPretoChar"/>
    <w:qFormat/>
    <w:rsid w:val="00036ad7"/>
    <w:pPr/>
    <w:rPr>
      <w:color w:themeColor="accent1" w:themeShade="bf" w:val="auto"/>
      <w:lang w:eastAsia="zh-CN" w:bidi="hi-IN"/>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TableParagraph">
    <w:name w:val="Table Paragraph"/>
    <w:basedOn w:val="Normal"/>
    <w:qFormat/>
    <w:pPr/>
    <w:rPr/>
  </w:style>
  <w:style w:type="numbering" w:styleId="Semlista" w:default="1">
    <w:name w:val="Sem lista"/>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in.gov.br/en/web/dou/-/instrucao-normativa-seges/me-n-77-de-4-de-novembro-de-2022-441681061"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gov.br/compras/pt-br/acesso-a-informacao/legislacao/instrucoes-normativas/instrucao-normativa-no-53-de-8-de-julho-de-2020" TargetMode="External"/><Relationship Id="rId6" Type="http://schemas.openxmlformats.org/officeDocument/2006/relationships/hyperlink" Target="http://www.planalto.gov.br/ccivil_03/AGU/Pareceres/2019-2022/PRC-JL-01-2020.htm" TargetMode="External"/><Relationship Id="rId7" Type="http://schemas.openxmlformats.org/officeDocument/2006/relationships/hyperlink" Target="https://www.gov.br/empresas-e-negocios/pt-br/empreendedor" TargetMode="External"/><Relationship Id="rId8" Type="http://schemas.openxmlformats.org/officeDocument/2006/relationships/hyperlink" Target="https://www.gov.br/economia/pt-br/assuntos/drei/legislacao/arquivos/legislacoes-federais/indrei772020.pdf" TargetMode="External"/><Relationship Id="rId9" Type="http://schemas.openxmlformats.org/officeDocument/2006/relationships/hyperlink" Target="https://www.gov.br/trabalho-e-previdencia/pt-br/servicos/empregador/programa-de-alimentacao-do-trabalhador-pat/arquivos-legislacao/instrucoes-normativas/pat_in_971_2009.pdf" TargetMode="External"/><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oter" Target="footer3.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Relationship Id="rId21" Type="http://schemas.openxmlformats.org/officeDocument/2006/relationships/customXml" Target="../customXml/item2.xml"/><Relationship Id="rId22" Type="http://schemas.openxmlformats.org/officeDocument/2006/relationships/customXml" Target="../customXml/item3.xml"/><Relationship Id="rId2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15E36662-ABDA-4499-9690-AB4396A4B21B}">
  <ds:schemaRefs>
    <ds:schemaRef ds:uri="http://schemas.openxmlformats.org/officeDocument/2006/bibliography"/>
  </ds:schemaRefs>
</ds:datastoreItem>
</file>

<file path=customXml/itemProps3.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A7BC89-5B8C-4EEE-8246-9B4C054A5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Application>LibreOffice/24.8.0.3$Windows_X86_64 LibreOffice_project/0bdf1299c94fe897b119f97f3c613e9dca6be583</Application>
  <AppVersion>15.0000</AppVersion>
  <Pages>12</Pages>
  <Words>4873</Words>
  <Characters>27001</Characters>
  <CharactersWithSpaces>31477</CharactersWithSpaces>
  <Paragraphs>327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2025-03-24T09:29:07Z</cp:lastPrinted>
  <dcterms:modified xsi:type="dcterms:W3CDTF">2025-03-24T09:43:33Z</dcterms:modified>
  <cp:revision>30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